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6DE9B5CF" w:rsidR="00A70556" w:rsidRDefault="00966516" w:rsidP="0034573D">
            <w:pPr>
              <w:spacing w:after="0" w:line="276" w:lineRule="auto"/>
            </w:pPr>
            <w:r>
              <w:t>Seguridad Vial en Salud</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987BBD" w14:paraId="1D014C1E" w14:textId="77777777" w:rsidTr="009F4211">
        <w:trPr>
          <w:trHeight w:val="340"/>
        </w:trPr>
        <w:tc>
          <w:tcPr>
            <w:tcW w:w="4712" w:type="dxa"/>
            <w:gridSpan w:val="2"/>
            <w:vAlign w:val="center"/>
          </w:tcPr>
          <w:p w14:paraId="404D8B68" w14:textId="1E253AC1" w:rsidR="00B861E0" w:rsidRPr="00987BBD" w:rsidRDefault="00987BBD" w:rsidP="00A123E6">
            <w:pPr>
              <w:spacing w:after="0" w:line="276" w:lineRule="auto"/>
              <w:jc w:val="center"/>
            </w:pPr>
            <w:r w:rsidRPr="00987BBD">
              <w:t>01/01/2025</w:t>
            </w:r>
          </w:p>
        </w:tc>
        <w:tc>
          <w:tcPr>
            <w:tcW w:w="5206" w:type="dxa"/>
            <w:gridSpan w:val="2"/>
            <w:vAlign w:val="center"/>
          </w:tcPr>
          <w:p w14:paraId="79E9E4F4" w14:textId="557CC197" w:rsidR="00B861E0" w:rsidRPr="00987BBD" w:rsidRDefault="00987BBD" w:rsidP="00A123E6">
            <w:pPr>
              <w:spacing w:after="0" w:line="276" w:lineRule="auto"/>
              <w:jc w:val="center"/>
            </w:pPr>
            <w:r w:rsidRPr="00987BBD">
              <w:t>01/07/2025</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987BBD" w14:paraId="37454C6A" w14:textId="77777777" w:rsidTr="00E06043">
        <w:trPr>
          <w:trHeight w:val="340"/>
        </w:trPr>
        <w:tc>
          <w:tcPr>
            <w:tcW w:w="9918" w:type="dxa"/>
            <w:gridSpan w:val="4"/>
          </w:tcPr>
          <w:p w14:paraId="78C4F704" w14:textId="08EC6C7A" w:rsidR="009F4211" w:rsidRPr="00987BBD" w:rsidRDefault="00987BBD" w:rsidP="009F4211">
            <w:pPr>
              <w:pStyle w:val="Prrafodelista"/>
              <w:spacing w:after="0" w:line="276" w:lineRule="auto"/>
              <w:ind w:left="37"/>
              <w:jc w:val="both"/>
            </w:pPr>
            <w:r w:rsidRPr="00987BBD">
              <w:t>Lic. Rubén Aníbal García Castro, Director de Planeación</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6C54B5C3" w:rsidR="00B920F2" w:rsidRDefault="00987BBD" w:rsidP="00521401">
      <w:pPr>
        <w:pStyle w:val="Prrafodelista"/>
        <w:spacing w:after="0" w:line="276" w:lineRule="auto"/>
        <w:ind w:left="142"/>
        <w:jc w:val="both"/>
      </w:pPr>
      <w:r>
        <w:t xml:space="preserve">Evaluar el diseño del Programa presupuestario (Pp) </w:t>
      </w:r>
      <w:r>
        <w:rPr>
          <w:lang w:val="es-ES"/>
        </w:rPr>
        <w:t>I187 Seguridad Vial en Salud</w:t>
      </w:r>
      <w:r>
        <w:t>,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62302E7" w14:textId="77777777" w:rsidR="00987BBD" w:rsidRDefault="00987BBD" w:rsidP="00987BBD">
      <w:pPr>
        <w:pStyle w:val="Prrafodelista"/>
        <w:numPr>
          <w:ilvl w:val="0"/>
          <w:numId w:val="2"/>
        </w:numPr>
        <w:spacing w:after="0" w:line="276" w:lineRule="auto"/>
        <w:jc w:val="both"/>
      </w:pPr>
      <w:r>
        <w:t>Analizar el problema o necesidad pública que justifica la creación o cambio sustancial del Pp.</w:t>
      </w:r>
    </w:p>
    <w:p w14:paraId="38333FC5" w14:textId="77777777" w:rsidR="00987BBD" w:rsidRDefault="00987BBD" w:rsidP="00987BBD">
      <w:pPr>
        <w:pStyle w:val="Prrafodelista"/>
        <w:numPr>
          <w:ilvl w:val="0"/>
          <w:numId w:val="2"/>
        </w:numPr>
        <w:spacing w:after="0" w:line="276" w:lineRule="auto"/>
        <w:jc w:val="both"/>
      </w:pPr>
      <w:r>
        <w:t>Analizar la pertinencia del diseño del Pp respecto al problema o necesidad pública que busca atender.</w:t>
      </w:r>
    </w:p>
    <w:p w14:paraId="2122391E" w14:textId="77777777" w:rsidR="00987BBD" w:rsidRDefault="00987BBD" w:rsidP="00987BBD">
      <w:pPr>
        <w:pStyle w:val="Prrafodelista"/>
        <w:numPr>
          <w:ilvl w:val="0"/>
          <w:numId w:val="2"/>
        </w:numPr>
        <w:spacing w:after="0" w:line="276" w:lineRule="auto"/>
        <w:jc w:val="both"/>
      </w:pPr>
      <w:r>
        <w:t xml:space="preserve">Analizar la consistencia entre el diseño del Pp y la normatividad vigente aplicable. </w:t>
      </w:r>
    </w:p>
    <w:p w14:paraId="38F5F17E" w14:textId="77777777" w:rsidR="00987BBD" w:rsidRDefault="00987BBD" w:rsidP="00987BBD">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4E3E2E16" w14:textId="77777777" w:rsidR="00987BBD" w:rsidRDefault="00987BBD" w:rsidP="00987BBD">
      <w:pPr>
        <w:pStyle w:val="Prrafodelista"/>
        <w:numPr>
          <w:ilvl w:val="0"/>
          <w:numId w:val="2"/>
        </w:numPr>
        <w:spacing w:after="0" w:line="276" w:lineRule="auto"/>
        <w:jc w:val="both"/>
      </w:pPr>
      <w:r>
        <w:t>Identificar posibles complementariedades o similitudes, así como riesgo de duplicidades con otros Pp de la APE.</w:t>
      </w:r>
    </w:p>
    <w:p w14:paraId="427AEE7D" w14:textId="77777777" w:rsidR="00987BBD" w:rsidRDefault="00987BBD" w:rsidP="00987BBD">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307A1862"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966516">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5F23FB68" w:rsidR="00581B4A" w:rsidRPr="00581B4A" w:rsidRDefault="00EC7832" w:rsidP="00090637">
            <w:pPr>
              <w:spacing w:after="0" w:line="276" w:lineRule="auto"/>
              <w:jc w:val="center"/>
              <w:rPr>
                <w:b/>
                <w:bCs/>
              </w:rPr>
            </w:pPr>
            <w:r>
              <w:t>d</w:t>
            </w:r>
            <w:r w:rsidR="0034573D">
              <w:t xml:space="preserve">e </w:t>
            </w:r>
            <w:r w:rsidR="00966516">
              <w:t>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011C0BDA" w:rsidR="00987BBD" w:rsidRDefault="00987BBD">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1D72B300" w:rsidR="00113BCD" w:rsidRDefault="00987BBD" w:rsidP="00987BBD">
      <w:pPr>
        <w:jc w:val="both"/>
      </w:pPr>
      <w:bookmarkStart w:id="0" w:name="_Hlk211505249"/>
      <w:r w:rsidRPr="003877C4">
        <w:t xml:space="preserve">Derivado de la evaluación del programa se tiene que la </w:t>
      </w:r>
      <w:r w:rsidRPr="003877C4">
        <w:rPr>
          <w:b/>
          <w:bCs/>
        </w:rPr>
        <w:t>Valoración Final</w:t>
      </w:r>
      <w:r w:rsidRPr="003877C4">
        <w:t xml:space="preserve"> de los resultados fue de</w:t>
      </w:r>
      <w:r>
        <w:t xml:space="preserve"> </w:t>
      </w:r>
      <w:r>
        <w:rPr>
          <w:b/>
          <w:bCs/>
        </w:rPr>
        <w:t>1.68</w:t>
      </w:r>
      <w:r w:rsidRPr="003877C4">
        <w:rPr>
          <w:b/>
          <w:bCs/>
        </w:rPr>
        <w:t xml:space="preserve"> puntos</w:t>
      </w:r>
      <w:r w:rsidRPr="003877C4">
        <w:t xml:space="preserve"> obtenidos a través de la asignación de niveles en cada pregunta valoradas en forma cuantitativa</w:t>
      </w:r>
      <w:bookmarkEnd w:id="0"/>
      <w:r w:rsidRPr="003877C4">
        <w:t>.</w:t>
      </w:r>
    </w:p>
    <w:tbl>
      <w:tblPr>
        <w:tblW w:w="4505"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568"/>
        <w:gridCol w:w="4259"/>
        <w:gridCol w:w="1275"/>
        <w:gridCol w:w="1273"/>
        <w:gridCol w:w="1554"/>
      </w:tblGrid>
      <w:tr w:rsidR="00987BBD" w:rsidRPr="00987BBD" w14:paraId="75A49ADA" w14:textId="77777777" w:rsidTr="00987BBD">
        <w:trPr>
          <w:trHeight w:val="887"/>
          <w:tblHeader/>
          <w:jc w:val="center"/>
        </w:trPr>
        <w:tc>
          <w:tcPr>
            <w:tcW w:w="318" w:type="pct"/>
            <w:shd w:val="clear" w:color="auto" w:fill="404040" w:themeFill="text1" w:themeFillTint="BF"/>
            <w:vAlign w:val="center"/>
          </w:tcPr>
          <w:p w14:paraId="6F64E9F1" w14:textId="77777777" w:rsidR="00987BBD" w:rsidRPr="00987BBD" w:rsidRDefault="00987BBD" w:rsidP="0054113D">
            <w:pPr>
              <w:spacing w:after="0" w:line="240" w:lineRule="auto"/>
              <w:jc w:val="center"/>
              <w:rPr>
                <w:rFonts w:cs="Arial"/>
                <w:b/>
                <w:bCs/>
                <w:color w:val="FFFFFF" w:themeColor="background1"/>
                <w:sz w:val="20"/>
                <w:szCs w:val="18"/>
              </w:rPr>
            </w:pPr>
            <w:r w:rsidRPr="00987BBD">
              <w:rPr>
                <w:rFonts w:cs="Arial"/>
                <w:b/>
                <w:bCs/>
                <w:color w:val="FFFFFF" w:themeColor="background1"/>
                <w:sz w:val="20"/>
                <w:szCs w:val="18"/>
              </w:rPr>
              <w:t>No.</w:t>
            </w:r>
          </w:p>
        </w:tc>
        <w:tc>
          <w:tcPr>
            <w:tcW w:w="2385" w:type="pct"/>
            <w:shd w:val="clear" w:color="auto" w:fill="404040" w:themeFill="text1" w:themeFillTint="BF"/>
            <w:vAlign w:val="center"/>
          </w:tcPr>
          <w:p w14:paraId="0D6FBD96" w14:textId="77777777" w:rsidR="00987BBD" w:rsidRPr="00987BBD" w:rsidRDefault="00987BBD" w:rsidP="0054113D">
            <w:pPr>
              <w:spacing w:after="0" w:line="240" w:lineRule="auto"/>
              <w:jc w:val="center"/>
              <w:rPr>
                <w:rFonts w:eastAsia="Cambria" w:cs="Arial"/>
                <w:b/>
                <w:bCs/>
                <w:color w:val="FFFFFF" w:themeColor="background1"/>
                <w:sz w:val="20"/>
                <w:szCs w:val="18"/>
              </w:rPr>
            </w:pPr>
            <w:r w:rsidRPr="00987BBD">
              <w:rPr>
                <w:rFonts w:cs="Arial"/>
                <w:b/>
                <w:bCs/>
                <w:color w:val="FFFFFF" w:themeColor="background1"/>
                <w:sz w:val="20"/>
                <w:szCs w:val="18"/>
              </w:rPr>
              <w:t>Sección</w:t>
            </w:r>
          </w:p>
        </w:tc>
        <w:tc>
          <w:tcPr>
            <w:tcW w:w="714" w:type="pct"/>
            <w:shd w:val="clear" w:color="auto" w:fill="404040" w:themeFill="text1" w:themeFillTint="BF"/>
            <w:tcMar>
              <w:top w:w="0" w:type="dxa"/>
              <w:left w:w="108" w:type="dxa"/>
              <w:bottom w:w="0" w:type="dxa"/>
              <w:right w:w="108" w:type="dxa"/>
            </w:tcMar>
            <w:vAlign w:val="center"/>
            <w:hideMark/>
          </w:tcPr>
          <w:p w14:paraId="12C8E0DD" w14:textId="77777777" w:rsidR="00987BBD" w:rsidRPr="00987BBD" w:rsidRDefault="00987BBD" w:rsidP="0054113D">
            <w:pPr>
              <w:spacing w:after="0" w:line="240" w:lineRule="auto"/>
              <w:jc w:val="center"/>
              <w:rPr>
                <w:rFonts w:cs="Arial"/>
                <w:b/>
                <w:bCs/>
                <w:color w:val="FFFFFF" w:themeColor="background1"/>
                <w:sz w:val="20"/>
                <w:szCs w:val="18"/>
              </w:rPr>
            </w:pPr>
            <w:proofErr w:type="gramStart"/>
            <w:r w:rsidRPr="00987BBD">
              <w:rPr>
                <w:rFonts w:cs="Arial"/>
                <w:b/>
                <w:bCs/>
                <w:color w:val="FFFFFF" w:themeColor="background1"/>
                <w:sz w:val="20"/>
                <w:szCs w:val="18"/>
              </w:rPr>
              <w:t>Total</w:t>
            </w:r>
            <w:proofErr w:type="gramEnd"/>
            <w:r w:rsidRPr="00987BBD">
              <w:rPr>
                <w:rFonts w:cs="Arial"/>
                <w:b/>
                <w:bCs/>
                <w:color w:val="FFFFFF" w:themeColor="background1"/>
                <w:sz w:val="20"/>
                <w:szCs w:val="18"/>
              </w:rPr>
              <w:t xml:space="preserve"> de preguntas</w:t>
            </w:r>
          </w:p>
          <w:p w14:paraId="3F6728B2" w14:textId="77777777" w:rsidR="00987BBD" w:rsidRPr="00987BBD" w:rsidRDefault="00987BBD" w:rsidP="0054113D">
            <w:pPr>
              <w:spacing w:after="0" w:line="240" w:lineRule="auto"/>
              <w:jc w:val="center"/>
              <w:rPr>
                <w:rFonts w:cs="Arial"/>
                <w:b/>
                <w:bCs/>
                <w:color w:val="FFFFFF" w:themeColor="background1"/>
                <w:sz w:val="20"/>
                <w:szCs w:val="18"/>
              </w:rPr>
            </w:pPr>
            <w:r w:rsidRPr="00987BBD">
              <w:rPr>
                <w:rFonts w:cs="Arial"/>
                <w:b/>
                <w:bCs/>
                <w:color w:val="FFFFFF" w:themeColor="background1"/>
                <w:sz w:val="20"/>
                <w:szCs w:val="18"/>
              </w:rPr>
              <w:t>(A)</w:t>
            </w:r>
          </w:p>
        </w:tc>
        <w:tc>
          <w:tcPr>
            <w:tcW w:w="713" w:type="pct"/>
            <w:shd w:val="clear" w:color="auto" w:fill="404040" w:themeFill="text1" w:themeFillTint="BF"/>
            <w:vAlign w:val="center"/>
          </w:tcPr>
          <w:p w14:paraId="73910728" w14:textId="77777777" w:rsidR="00987BBD" w:rsidRPr="00987BBD" w:rsidRDefault="00987BBD" w:rsidP="0054113D">
            <w:pPr>
              <w:spacing w:after="0" w:line="240" w:lineRule="auto"/>
              <w:jc w:val="center"/>
              <w:rPr>
                <w:rFonts w:cs="Arial"/>
                <w:b/>
                <w:bCs/>
                <w:color w:val="FFFFFF" w:themeColor="background1"/>
                <w:sz w:val="20"/>
                <w:szCs w:val="18"/>
              </w:rPr>
            </w:pPr>
            <w:r w:rsidRPr="00987BBD">
              <w:rPr>
                <w:rFonts w:cs="Arial"/>
                <w:b/>
                <w:bCs/>
                <w:color w:val="FFFFFF" w:themeColor="background1"/>
                <w:sz w:val="20"/>
                <w:szCs w:val="18"/>
              </w:rPr>
              <w:t>Puntuación obtenida</w:t>
            </w:r>
          </w:p>
          <w:p w14:paraId="1DCC8936" w14:textId="77777777" w:rsidR="00987BBD" w:rsidRPr="00987BBD" w:rsidRDefault="00987BBD" w:rsidP="0054113D">
            <w:pPr>
              <w:spacing w:after="0" w:line="240" w:lineRule="auto"/>
              <w:jc w:val="center"/>
              <w:rPr>
                <w:rFonts w:cs="Arial"/>
                <w:b/>
                <w:bCs/>
                <w:color w:val="FFFFFF" w:themeColor="background1"/>
                <w:sz w:val="20"/>
                <w:szCs w:val="18"/>
              </w:rPr>
            </w:pPr>
            <w:r w:rsidRPr="00987BBD">
              <w:rPr>
                <w:rFonts w:cs="Arial"/>
                <w:b/>
                <w:bCs/>
                <w:color w:val="FFFFFF" w:themeColor="background1"/>
                <w:sz w:val="20"/>
                <w:szCs w:val="18"/>
              </w:rPr>
              <w:t>(B)</w:t>
            </w:r>
          </w:p>
        </w:tc>
        <w:tc>
          <w:tcPr>
            <w:tcW w:w="870" w:type="pct"/>
            <w:shd w:val="clear" w:color="auto" w:fill="404040" w:themeFill="text1" w:themeFillTint="BF"/>
            <w:vAlign w:val="center"/>
          </w:tcPr>
          <w:p w14:paraId="4AB8A3E0" w14:textId="77777777" w:rsidR="00987BBD" w:rsidRPr="00987BBD" w:rsidRDefault="00987BBD" w:rsidP="0054113D">
            <w:pPr>
              <w:spacing w:after="0" w:line="240" w:lineRule="auto"/>
              <w:jc w:val="center"/>
              <w:rPr>
                <w:rFonts w:cs="Arial"/>
                <w:b/>
                <w:bCs/>
                <w:color w:val="FFFFFF" w:themeColor="background1"/>
                <w:sz w:val="20"/>
                <w:szCs w:val="18"/>
              </w:rPr>
            </w:pPr>
            <w:r w:rsidRPr="00987BBD">
              <w:rPr>
                <w:rFonts w:cs="Arial"/>
                <w:b/>
                <w:bCs/>
                <w:color w:val="FFFFFF" w:themeColor="background1"/>
                <w:sz w:val="20"/>
                <w:szCs w:val="18"/>
              </w:rPr>
              <w:t xml:space="preserve">Valoración cuantitativa </w:t>
            </w:r>
          </w:p>
          <w:p w14:paraId="28739840" w14:textId="77777777" w:rsidR="00987BBD" w:rsidRPr="00987BBD" w:rsidRDefault="00987BBD" w:rsidP="0054113D">
            <w:pPr>
              <w:spacing w:after="0" w:line="240" w:lineRule="auto"/>
              <w:jc w:val="center"/>
              <w:rPr>
                <w:rFonts w:cs="Arial"/>
                <w:b/>
                <w:bCs/>
                <w:color w:val="FFFFFF" w:themeColor="background1"/>
                <w:sz w:val="20"/>
                <w:szCs w:val="18"/>
              </w:rPr>
            </w:pPr>
            <w:r w:rsidRPr="00987BBD">
              <w:rPr>
                <w:rFonts w:cs="Arial"/>
                <w:b/>
                <w:bCs/>
                <w:color w:val="FFFFFF" w:themeColor="background1"/>
                <w:sz w:val="20"/>
                <w:szCs w:val="18"/>
              </w:rPr>
              <w:t>(B)/(A)</w:t>
            </w:r>
          </w:p>
        </w:tc>
      </w:tr>
      <w:tr w:rsidR="00987BBD" w:rsidRPr="00987BBD" w14:paraId="45D69E25" w14:textId="77777777" w:rsidTr="00987BBD">
        <w:trPr>
          <w:trHeight w:val="340"/>
          <w:jc w:val="center"/>
        </w:trPr>
        <w:tc>
          <w:tcPr>
            <w:tcW w:w="318" w:type="pct"/>
            <w:vAlign w:val="center"/>
          </w:tcPr>
          <w:p w14:paraId="46D58199" w14:textId="77777777" w:rsidR="00987BBD" w:rsidRPr="00987BBD" w:rsidRDefault="00987BBD" w:rsidP="0054113D">
            <w:pPr>
              <w:spacing w:after="0" w:line="240" w:lineRule="auto"/>
              <w:jc w:val="center"/>
              <w:rPr>
                <w:rFonts w:cs="Arial"/>
                <w:sz w:val="20"/>
                <w:szCs w:val="18"/>
              </w:rPr>
            </w:pPr>
            <w:r w:rsidRPr="00987BBD">
              <w:rPr>
                <w:rFonts w:cs="Arial"/>
                <w:sz w:val="20"/>
                <w:szCs w:val="18"/>
              </w:rPr>
              <w:t>II</w:t>
            </w:r>
          </w:p>
        </w:tc>
        <w:tc>
          <w:tcPr>
            <w:tcW w:w="2385" w:type="pct"/>
            <w:tcMar>
              <w:top w:w="0" w:type="dxa"/>
              <w:left w:w="108" w:type="dxa"/>
              <w:bottom w:w="0" w:type="dxa"/>
              <w:right w:w="108" w:type="dxa"/>
            </w:tcMar>
            <w:vAlign w:val="center"/>
            <w:hideMark/>
          </w:tcPr>
          <w:p w14:paraId="07D9B3B6" w14:textId="77777777" w:rsidR="00987BBD" w:rsidRPr="00987BBD" w:rsidRDefault="00987BBD" w:rsidP="0054113D">
            <w:pPr>
              <w:spacing w:after="0" w:line="240" w:lineRule="auto"/>
              <w:rPr>
                <w:rFonts w:cs="Arial"/>
                <w:sz w:val="20"/>
                <w:szCs w:val="18"/>
              </w:rPr>
            </w:pPr>
            <w:r w:rsidRPr="00987BBD">
              <w:rPr>
                <w:rFonts w:cs="Arial"/>
                <w:sz w:val="20"/>
                <w:szCs w:val="18"/>
              </w:rPr>
              <w:t>Problema o necesidad pública</w:t>
            </w:r>
          </w:p>
        </w:tc>
        <w:tc>
          <w:tcPr>
            <w:tcW w:w="714" w:type="pct"/>
            <w:tcMar>
              <w:top w:w="0" w:type="dxa"/>
              <w:left w:w="108" w:type="dxa"/>
              <w:bottom w:w="0" w:type="dxa"/>
              <w:right w:w="108" w:type="dxa"/>
            </w:tcMar>
            <w:vAlign w:val="center"/>
          </w:tcPr>
          <w:p w14:paraId="45CFFA86" w14:textId="77777777" w:rsidR="00987BBD" w:rsidRPr="00987BBD" w:rsidRDefault="00987BBD" w:rsidP="0054113D">
            <w:pPr>
              <w:spacing w:after="0" w:line="240" w:lineRule="auto"/>
              <w:jc w:val="center"/>
              <w:rPr>
                <w:rFonts w:cs="Arial"/>
                <w:sz w:val="20"/>
                <w:szCs w:val="18"/>
              </w:rPr>
            </w:pPr>
            <w:r w:rsidRPr="00987BBD">
              <w:rPr>
                <w:rFonts w:cs="Arial"/>
                <w:sz w:val="20"/>
                <w:szCs w:val="18"/>
              </w:rPr>
              <w:t>4</w:t>
            </w:r>
          </w:p>
        </w:tc>
        <w:tc>
          <w:tcPr>
            <w:tcW w:w="713" w:type="pct"/>
            <w:vAlign w:val="center"/>
          </w:tcPr>
          <w:p w14:paraId="56CAC35D" w14:textId="77777777" w:rsidR="00987BBD" w:rsidRPr="00987BBD" w:rsidRDefault="00987BBD" w:rsidP="0054113D">
            <w:pPr>
              <w:spacing w:after="0" w:line="240" w:lineRule="auto"/>
              <w:jc w:val="center"/>
              <w:rPr>
                <w:rFonts w:cs="Arial"/>
                <w:sz w:val="20"/>
                <w:szCs w:val="18"/>
              </w:rPr>
            </w:pPr>
            <w:r w:rsidRPr="00987BBD">
              <w:rPr>
                <w:rFonts w:cs="Arial"/>
                <w:sz w:val="20"/>
                <w:szCs w:val="18"/>
              </w:rPr>
              <w:t>4</w:t>
            </w:r>
          </w:p>
        </w:tc>
        <w:tc>
          <w:tcPr>
            <w:tcW w:w="870" w:type="pct"/>
            <w:vAlign w:val="center"/>
          </w:tcPr>
          <w:p w14:paraId="3BB5BB13" w14:textId="77777777" w:rsidR="00987BBD" w:rsidRPr="00987BBD" w:rsidRDefault="00987BBD" w:rsidP="0054113D">
            <w:pPr>
              <w:spacing w:after="0" w:line="240" w:lineRule="auto"/>
              <w:jc w:val="center"/>
              <w:rPr>
                <w:rFonts w:cs="Arial"/>
                <w:b/>
                <w:bCs/>
                <w:sz w:val="20"/>
                <w:szCs w:val="18"/>
              </w:rPr>
            </w:pPr>
            <w:r w:rsidRPr="00987BBD">
              <w:rPr>
                <w:rFonts w:cs="Arial"/>
                <w:b/>
                <w:bCs/>
                <w:sz w:val="20"/>
                <w:szCs w:val="18"/>
              </w:rPr>
              <w:t>1.0</w:t>
            </w:r>
          </w:p>
        </w:tc>
      </w:tr>
      <w:tr w:rsidR="00987BBD" w:rsidRPr="00987BBD" w14:paraId="3D080C42" w14:textId="77777777" w:rsidTr="00987BBD">
        <w:trPr>
          <w:trHeight w:val="340"/>
          <w:jc w:val="center"/>
        </w:trPr>
        <w:tc>
          <w:tcPr>
            <w:tcW w:w="318" w:type="pct"/>
            <w:vAlign w:val="center"/>
          </w:tcPr>
          <w:p w14:paraId="557DCDE7" w14:textId="77777777" w:rsidR="00987BBD" w:rsidRPr="00987BBD" w:rsidRDefault="00987BBD" w:rsidP="0054113D">
            <w:pPr>
              <w:spacing w:after="0" w:line="240" w:lineRule="auto"/>
              <w:jc w:val="center"/>
              <w:rPr>
                <w:rFonts w:cs="Arial"/>
                <w:sz w:val="20"/>
                <w:szCs w:val="18"/>
              </w:rPr>
            </w:pPr>
            <w:r w:rsidRPr="00987BBD">
              <w:rPr>
                <w:rFonts w:cs="Arial"/>
                <w:sz w:val="20"/>
                <w:szCs w:val="18"/>
              </w:rPr>
              <w:t>III</w:t>
            </w:r>
          </w:p>
        </w:tc>
        <w:tc>
          <w:tcPr>
            <w:tcW w:w="2385" w:type="pct"/>
            <w:tcMar>
              <w:top w:w="0" w:type="dxa"/>
              <w:left w:w="108" w:type="dxa"/>
              <w:bottom w:w="0" w:type="dxa"/>
              <w:right w:w="108" w:type="dxa"/>
            </w:tcMar>
            <w:vAlign w:val="center"/>
          </w:tcPr>
          <w:p w14:paraId="5650F64D" w14:textId="77777777" w:rsidR="00987BBD" w:rsidRPr="00987BBD" w:rsidRDefault="00987BBD" w:rsidP="0054113D">
            <w:pPr>
              <w:spacing w:after="0" w:line="240" w:lineRule="auto"/>
              <w:rPr>
                <w:rFonts w:cs="Arial"/>
                <w:sz w:val="20"/>
                <w:szCs w:val="18"/>
              </w:rPr>
            </w:pPr>
            <w:r w:rsidRPr="00987BBD">
              <w:rPr>
                <w:rFonts w:cs="Arial"/>
                <w:sz w:val="20"/>
                <w:szCs w:val="18"/>
              </w:rPr>
              <w:t>Diseño de la propuesta de atención</w:t>
            </w:r>
          </w:p>
        </w:tc>
        <w:tc>
          <w:tcPr>
            <w:tcW w:w="714" w:type="pct"/>
            <w:tcMar>
              <w:top w:w="0" w:type="dxa"/>
              <w:left w:w="108" w:type="dxa"/>
              <w:bottom w:w="0" w:type="dxa"/>
              <w:right w:w="108" w:type="dxa"/>
            </w:tcMar>
            <w:vAlign w:val="center"/>
          </w:tcPr>
          <w:p w14:paraId="7B05CA93" w14:textId="77777777" w:rsidR="00987BBD" w:rsidRPr="00987BBD" w:rsidRDefault="00987BBD" w:rsidP="0054113D">
            <w:pPr>
              <w:spacing w:after="0" w:line="240" w:lineRule="auto"/>
              <w:jc w:val="center"/>
              <w:rPr>
                <w:rFonts w:cs="Arial"/>
                <w:sz w:val="20"/>
                <w:szCs w:val="18"/>
              </w:rPr>
            </w:pPr>
            <w:r w:rsidRPr="00987BBD">
              <w:rPr>
                <w:rFonts w:cs="Arial"/>
                <w:sz w:val="20"/>
                <w:szCs w:val="18"/>
              </w:rPr>
              <w:t>5</w:t>
            </w:r>
          </w:p>
        </w:tc>
        <w:tc>
          <w:tcPr>
            <w:tcW w:w="713" w:type="pct"/>
            <w:vAlign w:val="center"/>
          </w:tcPr>
          <w:p w14:paraId="28396B1B" w14:textId="77777777" w:rsidR="00987BBD" w:rsidRPr="00987BBD" w:rsidRDefault="00987BBD" w:rsidP="0054113D">
            <w:pPr>
              <w:spacing w:after="0" w:line="240" w:lineRule="auto"/>
              <w:jc w:val="center"/>
              <w:rPr>
                <w:rFonts w:cs="Arial"/>
                <w:sz w:val="20"/>
                <w:szCs w:val="18"/>
              </w:rPr>
            </w:pPr>
            <w:r w:rsidRPr="00987BBD">
              <w:rPr>
                <w:rFonts w:cs="Arial"/>
                <w:sz w:val="20"/>
                <w:szCs w:val="18"/>
              </w:rPr>
              <w:t>14</w:t>
            </w:r>
          </w:p>
        </w:tc>
        <w:tc>
          <w:tcPr>
            <w:tcW w:w="870" w:type="pct"/>
            <w:vAlign w:val="center"/>
          </w:tcPr>
          <w:p w14:paraId="3DCEAE78" w14:textId="77777777" w:rsidR="00987BBD" w:rsidRPr="00987BBD" w:rsidRDefault="00987BBD" w:rsidP="0054113D">
            <w:pPr>
              <w:spacing w:after="0" w:line="240" w:lineRule="auto"/>
              <w:jc w:val="center"/>
              <w:rPr>
                <w:rFonts w:cs="Arial"/>
                <w:b/>
                <w:bCs/>
                <w:sz w:val="20"/>
                <w:szCs w:val="18"/>
              </w:rPr>
            </w:pPr>
            <w:r w:rsidRPr="00987BBD">
              <w:rPr>
                <w:rFonts w:cs="Arial"/>
                <w:b/>
                <w:bCs/>
                <w:sz w:val="20"/>
                <w:szCs w:val="18"/>
              </w:rPr>
              <w:t>2.8</w:t>
            </w:r>
          </w:p>
        </w:tc>
      </w:tr>
      <w:tr w:rsidR="00987BBD" w:rsidRPr="00987BBD" w14:paraId="597597C9" w14:textId="77777777" w:rsidTr="00987BBD">
        <w:trPr>
          <w:trHeight w:val="340"/>
          <w:jc w:val="center"/>
        </w:trPr>
        <w:tc>
          <w:tcPr>
            <w:tcW w:w="318" w:type="pct"/>
            <w:vAlign w:val="center"/>
          </w:tcPr>
          <w:p w14:paraId="78CB1192" w14:textId="77777777" w:rsidR="00987BBD" w:rsidRPr="00987BBD" w:rsidRDefault="00987BBD" w:rsidP="0054113D">
            <w:pPr>
              <w:spacing w:after="0" w:line="240" w:lineRule="auto"/>
              <w:jc w:val="center"/>
              <w:rPr>
                <w:rFonts w:cs="Arial"/>
                <w:sz w:val="20"/>
                <w:szCs w:val="18"/>
              </w:rPr>
            </w:pPr>
            <w:r w:rsidRPr="00987BBD">
              <w:rPr>
                <w:rFonts w:cs="Arial"/>
                <w:sz w:val="20"/>
                <w:szCs w:val="18"/>
              </w:rPr>
              <w:t>IV</w:t>
            </w:r>
          </w:p>
        </w:tc>
        <w:tc>
          <w:tcPr>
            <w:tcW w:w="2385" w:type="pct"/>
            <w:tcMar>
              <w:top w:w="0" w:type="dxa"/>
              <w:left w:w="108" w:type="dxa"/>
              <w:bottom w:w="0" w:type="dxa"/>
              <w:right w:w="108" w:type="dxa"/>
            </w:tcMar>
            <w:vAlign w:val="center"/>
          </w:tcPr>
          <w:p w14:paraId="216E06D3" w14:textId="77777777" w:rsidR="00987BBD" w:rsidRPr="00987BBD" w:rsidRDefault="00987BBD" w:rsidP="0054113D">
            <w:pPr>
              <w:spacing w:after="0" w:line="240" w:lineRule="auto"/>
              <w:rPr>
                <w:rFonts w:cs="Arial"/>
                <w:sz w:val="20"/>
                <w:szCs w:val="18"/>
              </w:rPr>
            </w:pPr>
            <w:r w:rsidRPr="00987BBD">
              <w:rPr>
                <w:rFonts w:cs="Arial"/>
                <w:sz w:val="20"/>
                <w:szCs w:val="18"/>
              </w:rPr>
              <w:t>Diseño operativo</w:t>
            </w:r>
          </w:p>
        </w:tc>
        <w:tc>
          <w:tcPr>
            <w:tcW w:w="714" w:type="pct"/>
            <w:tcMar>
              <w:top w:w="0" w:type="dxa"/>
              <w:left w:w="108" w:type="dxa"/>
              <w:bottom w:w="0" w:type="dxa"/>
              <w:right w:w="108" w:type="dxa"/>
            </w:tcMar>
            <w:vAlign w:val="center"/>
          </w:tcPr>
          <w:p w14:paraId="15089F00" w14:textId="77777777" w:rsidR="00987BBD" w:rsidRPr="00987BBD" w:rsidRDefault="00987BBD" w:rsidP="0054113D">
            <w:pPr>
              <w:spacing w:after="0" w:line="240" w:lineRule="auto"/>
              <w:jc w:val="center"/>
              <w:rPr>
                <w:rFonts w:cs="Arial"/>
                <w:sz w:val="20"/>
                <w:szCs w:val="18"/>
              </w:rPr>
            </w:pPr>
            <w:r w:rsidRPr="00987BBD">
              <w:rPr>
                <w:rFonts w:cs="Arial"/>
                <w:sz w:val="20"/>
                <w:szCs w:val="18"/>
              </w:rPr>
              <w:t>10</w:t>
            </w:r>
          </w:p>
        </w:tc>
        <w:tc>
          <w:tcPr>
            <w:tcW w:w="713" w:type="pct"/>
            <w:vAlign w:val="center"/>
          </w:tcPr>
          <w:p w14:paraId="06C88E62" w14:textId="77777777" w:rsidR="00987BBD" w:rsidRPr="00987BBD" w:rsidRDefault="00987BBD" w:rsidP="0054113D">
            <w:pPr>
              <w:spacing w:after="0" w:line="240" w:lineRule="auto"/>
              <w:jc w:val="center"/>
              <w:rPr>
                <w:rFonts w:cs="Arial"/>
                <w:sz w:val="20"/>
                <w:szCs w:val="18"/>
              </w:rPr>
            </w:pPr>
            <w:r w:rsidRPr="00987BBD">
              <w:rPr>
                <w:rFonts w:cs="Arial"/>
                <w:sz w:val="20"/>
                <w:szCs w:val="18"/>
              </w:rPr>
              <w:t>10</w:t>
            </w:r>
          </w:p>
        </w:tc>
        <w:tc>
          <w:tcPr>
            <w:tcW w:w="870" w:type="pct"/>
            <w:vAlign w:val="center"/>
          </w:tcPr>
          <w:p w14:paraId="570AEEBC" w14:textId="77777777" w:rsidR="00987BBD" w:rsidRPr="00987BBD" w:rsidRDefault="00987BBD" w:rsidP="0054113D">
            <w:pPr>
              <w:spacing w:after="0" w:line="240" w:lineRule="auto"/>
              <w:jc w:val="center"/>
              <w:rPr>
                <w:rFonts w:cs="Arial"/>
                <w:b/>
                <w:bCs/>
                <w:sz w:val="20"/>
                <w:szCs w:val="18"/>
              </w:rPr>
            </w:pPr>
            <w:r w:rsidRPr="00987BBD">
              <w:rPr>
                <w:rFonts w:cs="Arial"/>
                <w:b/>
                <w:bCs/>
                <w:sz w:val="20"/>
                <w:szCs w:val="18"/>
              </w:rPr>
              <w:t>1.0</w:t>
            </w:r>
          </w:p>
        </w:tc>
      </w:tr>
      <w:tr w:rsidR="00987BBD" w:rsidRPr="00987BBD" w14:paraId="284090A9" w14:textId="77777777" w:rsidTr="00987BBD">
        <w:trPr>
          <w:trHeight w:val="340"/>
          <w:jc w:val="center"/>
        </w:trPr>
        <w:tc>
          <w:tcPr>
            <w:tcW w:w="318" w:type="pct"/>
            <w:vAlign w:val="center"/>
          </w:tcPr>
          <w:p w14:paraId="0F4CCCAB" w14:textId="77777777" w:rsidR="00987BBD" w:rsidRPr="00987BBD" w:rsidRDefault="00987BBD" w:rsidP="0054113D">
            <w:pPr>
              <w:spacing w:after="0" w:line="240" w:lineRule="auto"/>
              <w:jc w:val="center"/>
              <w:rPr>
                <w:rFonts w:cs="Arial"/>
                <w:sz w:val="20"/>
                <w:szCs w:val="18"/>
              </w:rPr>
            </w:pPr>
            <w:r w:rsidRPr="00987BBD">
              <w:rPr>
                <w:rFonts w:cs="Arial"/>
                <w:sz w:val="20"/>
                <w:szCs w:val="18"/>
                <w:lang w:eastAsia="es-MX"/>
              </w:rPr>
              <w:t>V</w:t>
            </w:r>
          </w:p>
        </w:tc>
        <w:tc>
          <w:tcPr>
            <w:tcW w:w="2385" w:type="pct"/>
            <w:tcMar>
              <w:top w:w="0" w:type="dxa"/>
              <w:left w:w="108" w:type="dxa"/>
              <w:bottom w:w="0" w:type="dxa"/>
              <w:right w:w="108" w:type="dxa"/>
            </w:tcMar>
            <w:vAlign w:val="center"/>
          </w:tcPr>
          <w:p w14:paraId="10547D03" w14:textId="77777777" w:rsidR="00987BBD" w:rsidRPr="00987BBD" w:rsidRDefault="00987BBD" w:rsidP="0054113D">
            <w:pPr>
              <w:spacing w:after="0" w:line="240" w:lineRule="auto"/>
              <w:rPr>
                <w:rFonts w:cs="Arial"/>
                <w:sz w:val="20"/>
                <w:szCs w:val="18"/>
              </w:rPr>
            </w:pPr>
            <w:r w:rsidRPr="00987BBD">
              <w:rPr>
                <w:rFonts w:cs="Arial"/>
                <w:sz w:val="20"/>
                <w:szCs w:val="18"/>
              </w:rPr>
              <w:t xml:space="preserve">Consistencia programática y normativa </w:t>
            </w:r>
          </w:p>
        </w:tc>
        <w:tc>
          <w:tcPr>
            <w:tcW w:w="714" w:type="pct"/>
            <w:tcMar>
              <w:top w:w="0" w:type="dxa"/>
              <w:left w:w="108" w:type="dxa"/>
              <w:bottom w:w="0" w:type="dxa"/>
              <w:right w:w="108" w:type="dxa"/>
            </w:tcMar>
            <w:vAlign w:val="center"/>
          </w:tcPr>
          <w:p w14:paraId="144C9B1C" w14:textId="77777777" w:rsidR="00987BBD" w:rsidRPr="00987BBD" w:rsidRDefault="00987BBD" w:rsidP="0054113D">
            <w:pPr>
              <w:spacing w:after="0" w:line="240" w:lineRule="auto"/>
              <w:jc w:val="center"/>
              <w:rPr>
                <w:rFonts w:cs="Arial"/>
                <w:sz w:val="20"/>
                <w:szCs w:val="18"/>
              </w:rPr>
            </w:pPr>
            <w:r w:rsidRPr="00987BBD">
              <w:rPr>
                <w:rFonts w:cs="Arial"/>
                <w:sz w:val="20"/>
                <w:szCs w:val="18"/>
              </w:rPr>
              <w:t>1</w:t>
            </w:r>
          </w:p>
        </w:tc>
        <w:tc>
          <w:tcPr>
            <w:tcW w:w="713" w:type="pct"/>
            <w:vAlign w:val="center"/>
          </w:tcPr>
          <w:p w14:paraId="59E72B6E" w14:textId="77777777" w:rsidR="00987BBD" w:rsidRPr="00987BBD" w:rsidRDefault="00987BBD" w:rsidP="0054113D">
            <w:pPr>
              <w:spacing w:after="0" w:line="240" w:lineRule="auto"/>
              <w:jc w:val="center"/>
              <w:rPr>
                <w:rFonts w:cs="Arial"/>
                <w:sz w:val="20"/>
                <w:szCs w:val="18"/>
              </w:rPr>
            </w:pPr>
            <w:r w:rsidRPr="00987BBD">
              <w:rPr>
                <w:rFonts w:cs="Arial"/>
                <w:sz w:val="20"/>
                <w:szCs w:val="18"/>
              </w:rPr>
              <w:t>4</w:t>
            </w:r>
          </w:p>
        </w:tc>
        <w:tc>
          <w:tcPr>
            <w:tcW w:w="870" w:type="pct"/>
            <w:vAlign w:val="center"/>
          </w:tcPr>
          <w:p w14:paraId="147A05E3" w14:textId="77777777" w:rsidR="00987BBD" w:rsidRPr="00987BBD" w:rsidRDefault="00987BBD" w:rsidP="0054113D">
            <w:pPr>
              <w:spacing w:after="0" w:line="240" w:lineRule="auto"/>
              <w:jc w:val="center"/>
              <w:rPr>
                <w:rFonts w:cs="Arial"/>
                <w:b/>
                <w:bCs/>
                <w:sz w:val="20"/>
                <w:szCs w:val="18"/>
              </w:rPr>
            </w:pPr>
            <w:r w:rsidRPr="00987BBD">
              <w:rPr>
                <w:rFonts w:cs="Arial"/>
                <w:b/>
                <w:bCs/>
                <w:sz w:val="20"/>
                <w:szCs w:val="18"/>
              </w:rPr>
              <w:t>4.0</w:t>
            </w:r>
          </w:p>
        </w:tc>
      </w:tr>
      <w:tr w:rsidR="00987BBD" w:rsidRPr="00987BBD" w14:paraId="3FF287B1" w14:textId="77777777" w:rsidTr="00987BBD">
        <w:trPr>
          <w:trHeight w:val="340"/>
          <w:jc w:val="center"/>
        </w:trPr>
        <w:tc>
          <w:tcPr>
            <w:tcW w:w="318" w:type="pct"/>
            <w:vAlign w:val="center"/>
          </w:tcPr>
          <w:p w14:paraId="4FFA69E7" w14:textId="77777777" w:rsidR="00987BBD" w:rsidRPr="00987BBD" w:rsidRDefault="00987BBD" w:rsidP="0054113D">
            <w:pPr>
              <w:spacing w:after="0" w:line="240" w:lineRule="auto"/>
              <w:jc w:val="center"/>
              <w:rPr>
                <w:rFonts w:cs="Arial"/>
                <w:sz w:val="20"/>
                <w:szCs w:val="18"/>
                <w:lang w:eastAsia="es-MX"/>
              </w:rPr>
            </w:pPr>
            <w:r w:rsidRPr="00987BBD">
              <w:rPr>
                <w:rFonts w:cs="Arial"/>
                <w:sz w:val="20"/>
                <w:szCs w:val="18"/>
              </w:rPr>
              <w:t>VI</w:t>
            </w:r>
          </w:p>
        </w:tc>
        <w:tc>
          <w:tcPr>
            <w:tcW w:w="2385" w:type="pct"/>
            <w:tcMar>
              <w:top w:w="0" w:type="dxa"/>
              <w:left w:w="108" w:type="dxa"/>
              <w:bottom w:w="0" w:type="dxa"/>
              <w:right w:w="108" w:type="dxa"/>
            </w:tcMar>
            <w:vAlign w:val="center"/>
            <w:hideMark/>
          </w:tcPr>
          <w:p w14:paraId="54BD99D5" w14:textId="77777777" w:rsidR="00987BBD" w:rsidRPr="00987BBD" w:rsidRDefault="00987BBD" w:rsidP="0054113D">
            <w:pPr>
              <w:spacing w:after="0" w:line="240" w:lineRule="auto"/>
              <w:rPr>
                <w:rFonts w:eastAsia="Cambria" w:cs="Arial"/>
                <w:sz w:val="20"/>
                <w:szCs w:val="18"/>
                <w:lang w:eastAsia="es-MX"/>
              </w:rPr>
            </w:pPr>
            <w:r w:rsidRPr="00987BBD">
              <w:rPr>
                <w:rFonts w:cs="Arial"/>
                <w:sz w:val="20"/>
                <w:szCs w:val="18"/>
                <w:lang w:eastAsia="es-MX"/>
              </w:rPr>
              <w:t>Contribución a objetivos de la planeación estatal</w:t>
            </w:r>
          </w:p>
        </w:tc>
        <w:tc>
          <w:tcPr>
            <w:tcW w:w="714" w:type="pct"/>
            <w:tcMar>
              <w:top w:w="0" w:type="dxa"/>
              <w:left w:w="108" w:type="dxa"/>
              <w:bottom w:w="0" w:type="dxa"/>
              <w:right w:w="108" w:type="dxa"/>
            </w:tcMar>
            <w:vAlign w:val="center"/>
          </w:tcPr>
          <w:p w14:paraId="08C37532" w14:textId="77777777" w:rsidR="00987BBD" w:rsidRPr="00987BBD" w:rsidRDefault="00987BBD" w:rsidP="0054113D">
            <w:pPr>
              <w:spacing w:after="0" w:line="240" w:lineRule="auto"/>
              <w:jc w:val="center"/>
              <w:rPr>
                <w:rFonts w:eastAsia="Cambria" w:cs="Arial"/>
                <w:sz w:val="20"/>
                <w:szCs w:val="18"/>
              </w:rPr>
            </w:pPr>
            <w:r w:rsidRPr="00987BBD">
              <w:rPr>
                <w:rFonts w:eastAsia="Cambria" w:cs="Arial"/>
                <w:sz w:val="20"/>
                <w:szCs w:val="18"/>
              </w:rPr>
              <w:t>1</w:t>
            </w:r>
          </w:p>
        </w:tc>
        <w:tc>
          <w:tcPr>
            <w:tcW w:w="713" w:type="pct"/>
            <w:vAlign w:val="center"/>
          </w:tcPr>
          <w:p w14:paraId="4D73B975" w14:textId="77777777" w:rsidR="00987BBD" w:rsidRPr="00987BBD" w:rsidRDefault="00987BBD" w:rsidP="0054113D">
            <w:pPr>
              <w:spacing w:after="0" w:line="240" w:lineRule="auto"/>
              <w:jc w:val="center"/>
              <w:rPr>
                <w:rFonts w:eastAsia="Cambria" w:cs="Arial"/>
                <w:sz w:val="20"/>
                <w:szCs w:val="18"/>
              </w:rPr>
            </w:pPr>
            <w:r w:rsidRPr="00987BBD">
              <w:rPr>
                <w:rFonts w:eastAsia="Cambria" w:cs="Arial"/>
                <w:sz w:val="20"/>
                <w:szCs w:val="18"/>
              </w:rPr>
              <w:t>4</w:t>
            </w:r>
          </w:p>
        </w:tc>
        <w:tc>
          <w:tcPr>
            <w:tcW w:w="870" w:type="pct"/>
            <w:vAlign w:val="center"/>
          </w:tcPr>
          <w:p w14:paraId="6B9EA37B" w14:textId="77777777" w:rsidR="00987BBD" w:rsidRPr="00987BBD" w:rsidRDefault="00987BBD" w:rsidP="0054113D">
            <w:pPr>
              <w:spacing w:after="0" w:line="240" w:lineRule="auto"/>
              <w:jc w:val="center"/>
              <w:rPr>
                <w:rFonts w:cs="Arial"/>
                <w:b/>
                <w:bCs/>
                <w:sz w:val="20"/>
                <w:szCs w:val="18"/>
              </w:rPr>
            </w:pPr>
            <w:r w:rsidRPr="00987BBD">
              <w:rPr>
                <w:rFonts w:cs="Arial"/>
                <w:b/>
                <w:bCs/>
                <w:sz w:val="20"/>
                <w:szCs w:val="18"/>
              </w:rPr>
              <w:t>4.0</w:t>
            </w:r>
          </w:p>
        </w:tc>
      </w:tr>
      <w:tr w:rsidR="00987BBD" w:rsidRPr="00987BBD" w14:paraId="62922D3E" w14:textId="77777777" w:rsidTr="00987BBD">
        <w:trPr>
          <w:trHeight w:val="340"/>
          <w:jc w:val="center"/>
        </w:trPr>
        <w:tc>
          <w:tcPr>
            <w:tcW w:w="318" w:type="pct"/>
            <w:vAlign w:val="center"/>
          </w:tcPr>
          <w:p w14:paraId="564C5B41" w14:textId="77777777" w:rsidR="00987BBD" w:rsidRPr="00987BBD" w:rsidRDefault="00987BBD" w:rsidP="0054113D">
            <w:pPr>
              <w:spacing w:after="0" w:line="240" w:lineRule="auto"/>
              <w:jc w:val="center"/>
              <w:rPr>
                <w:rFonts w:cs="Arial"/>
                <w:sz w:val="20"/>
                <w:szCs w:val="18"/>
              </w:rPr>
            </w:pPr>
            <w:r w:rsidRPr="00987BBD">
              <w:rPr>
                <w:rFonts w:cs="Arial"/>
                <w:sz w:val="20"/>
                <w:szCs w:val="18"/>
              </w:rPr>
              <w:t>VIII</w:t>
            </w:r>
          </w:p>
        </w:tc>
        <w:tc>
          <w:tcPr>
            <w:tcW w:w="2385" w:type="pct"/>
            <w:tcMar>
              <w:top w:w="0" w:type="dxa"/>
              <w:left w:w="108" w:type="dxa"/>
              <w:bottom w:w="0" w:type="dxa"/>
              <w:right w:w="108" w:type="dxa"/>
            </w:tcMar>
            <w:vAlign w:val="center"/>
            <w:hideMark/>
          </w:tcPr>
          <w:p w14:paraId="4A55B12B" w14:textId="77777777" w:rsidR="00987BBD" w:rsidRPr="00987BBD" w:rsidRDefault="00987BBD" w:rsidP="0054113D">
            <w:pPr>
              <w:spacing w:after="0" w:line="240" w:lineRule="auto"/>
              <w:rPr>
                <w:rFonts w:eastAsia="Cambria" w:cs="Arial"/>
                <w:sz w:val="20"/>
                <w:szCs w:val="18"/>
              </w:rPr>
            </w:pPr>
            <w:r w:rsidRPr="00987BBD">
              <w:rPr>
                <w:rFonts w:cs="Arial"/>
                <w:sz w:val="20"/>
                <w:szCs w:val="18"/>
              </w:rPr>
              <w:t>Instrumento de Seguimiento del Desempeño</w:t>
            </w:r>
          </w:p>
        </w:tc>
        <w:tc>
          <w:tcPr>
            <w:tcW w:w="714" w:type="pct"/>
            <w:tcMar>
              <w:top w:w="0" w:type="dxa"/>
              <w:left w:w="108" w:type="dxa"/>
              <w:bottom w:w="0" w:type="dxa"/>
              <w:right w:w="108" w:type="dxa"/>
            </w:tcMar>
            <w:vAlign w:val="center"/>
          </w:tcPr>
          <w:p w14:paraId="547A8F51" w14:textId="77777777" w:rsidR="00987BBD" w:rsidRPr="00987BBD" w:rsidRDefault="00987BBD" w:rsidP="0054113D">
            <w:pPr>
              <w:spacing w:after="0" w:line="240" w:lineRule="auto"/>
              <w:jc w:val="center"/>
              <w:rPr>
                <w:rFonts w:eastAsia="Cambria" w:cs="Arial"/>
                <w:sz w:val="20"/>
                <w:szCs w:val="18"/>
              </w:rPr>
            </w:pPr>
            <w:r w:rsidRPr="00987BBD">
              <w:rPr>
                <w:rFonts w:eastAsia="Cambria" w:cs="Arial"/>
                <w:sz w:val="20"/>
                <w:szCs w:val="18"/>
              </w:rPr>
              <w:t>4</w:t>
            </w:r>
          </w:p>
        </w:tc>
        <w:tc>
          <w:tcPr>
            <w:tcW w:w="713" w:type="pct"/>
            <w:vAlign w:val="center"/>
          </w:tcPr>
          <w:p w14:paraId="7CD90850" w14:textId="77777777" w:rsidR="00987BBD" w:rsidRPr="00987BBD" w:rsidRDefault="00987BBD" w:rsidP="0054113D">
            <w:pPr>
              <w:spacing w:after="0" w:line="240" w:lineRule="auto"/>
              <w:jc w:val="center"/>
              <w:rPr>
                <w:rFonts w:eastAsia="Cambria" w:cs="Arial"/>
                <w:sz w:val="20"/>
                <w:szCs w:val="18"/>
              </w:rPr>
            </w:pPr>
            <w:r w:rsidRPr="00987BBD">
              <w:rPr>
                <w:rFonts w:eastAsia="Cambria" w:cs="Arial"/>
                <w:sz w:val="20"/>
                <w:szCs w:val="18"/>
              </w:rPr>
              <w:t>6</w:t>
            </w:r>
          </w:p>
        </w:tc>
        <w:tc>
          <w:tcPr>
            <w:tcW w:w="870" w:type="pct"/>
            <w:vAlign w:val="center"/>
          </w:tcPr>
          <w:p w14:paraId="2D20E8DD" w14:textId="77777777" w:rsidR="00987BBD" w:rsidRPr="00987BBD" w:rsidRDefault="00987BBD" w:rsidP="0054113D">
            <w:pPr>
              <w:spacing w:after="0" w:line="240" w:lineRule="auto"/>
              <w:jc w:val="center"/>
              <w:rPr>
                <w:rFonts w:cs="Arial"/>
                <w:b/>
                <w:bCs/>
                <w:sz w:val="20"/>
                <w:szCs w:val="18"/>
              </w:rPr>
            </w:pPr>
            <w:r w:rsidRPr="00987BBD">
              <w:rPr>
                <w:rFonts w:cs="Arial"/>
                <w:b/>
                <w:bCs/>
                <w:sz w:val="20"/>
                <w:szCs w:val="18"/>
              </w:rPr>
              <w:t>1.5</w:t>
            </w:r>
          </w:p>
        </w:tc>
      </w:tr>
      <w:tr w:rsidR="00987BBD" w:rsidRPr="00987BBD" w14:paraId="48682499" w14:textId="77777777" w:rsidTr="00987BBD">
        <w:trPr>
          <w:trHeight w:val="283"/>
          <w:jc w:val="center"/>
        </w:trPr>
        <w:tc>
          <w:tcPr>
            <w:tcW w:w="318" w:type="pct"/>
            <w:shd w:val="clear" w:color="auto" w:fill="D9D9D9" w:themeFill="background1" w:themeFillShade="D9"/>
            <w:vAlign w:val="center"/>
          </w:tcPr>
          <w:p w14:paraId="1CDE7DE4" w14:textId="77777777" w:rsidR="00987BBD" w:rsidRPr="00987BBD" w:rsidRDefault="00987BBD" w:rsidP="0054113D">
            <w:pPr>
              <w:spacing w:after="0" w:line="240" w:lineRule="auto"/>
              <w:rPr>
                <w:rFonts w:cs="Arial"/>
                <w:b/>
                <w:bCs/>
                <w:color w:val="000000" w:themeColor="text1"/>
                <w:sz w:val="20"/>
                <w:szCs w:val="18"/>
              </w:rPr>
            </w:pPr>
          </w:p>
        </w:tc>
        <w:tc>
          <w:tcPr>
            <w:tcW w:w="2385" w:type="pct"/>
            <w:shd w:val="clear" w:color="auto" w:fill="D9D9D9" w:themeFill="background1" w:themeFillShade="D9"/>
            <w:tcMar>
              <w:top w:w="0" w:type="dxa"/>
              <w:left w:w="108" w:type="dxa"/>
              <w:bottom w:w="0" w:type="dxa"/>
              <w:right w:w="108" w:type="dxa"/>
            </w:tcMar>
            <w:vAlign w:val="center"/>
            <w:hideMark/>
          </w:tcPr>
          <w:p w14:paraId="1E90498E" w14:textId="77777777" w:rsidR="00987BBD" w:rsidRPr="00987BBD" w:rsidRDefault="00987BBD" w:rsidP="0054113D">
            <w:pPr>
              <w:spacing w:after="0" w:line="240" w:lineRule="auto"/>
              <w:jc w:val="center"/>
              <w:rPr>
                <w:rFonts w:eastAsia="Cambria" w:cs="Arial"/>
                <w:b/>
                <w:bCs/>
                <w:color w:val="000000" w:themeColor="text1"/>
                <w:sz w:val="20"/>
                <w:szCs w:val="18"/>
              </w:rPr>
            </w:pPr>
            <w:r w:rsidRPr="00987BBD">
              <w:rPr>
                <w:rFonts w:cs="Arial"/>
                <w:b/>
                <w:bCs/>
                <w:color w:val="000000" w:themeColor="text1"/>
                <w:sz w:val="20"/>
                <w:szCs w:val="18"/>
              </w:rPr>
              <w:t>TOTAL</w:t>
            </w:r>
          </w:p>
        </w:tc>
        <w:tc>
          <w:tcPr>
            <w:tcW w:w="714" w:type="pct"/>
            <w:shd w:val="clear" w:color="auto" w:fill="D9D9D9" w:themeFill="background1" w:themeFillShade="D9"/>
            <w:tcMar>
              <w:top w:w="0" w:type="dxa"/>
              <w:left w:w="108" w:type="dxa"/>
              <w:bottom w:w="0" w:type="dxa"/>
              <w:right w:w="108" w:type="dxa"/>
            </w:tcMar>
            <w:vAlign w:val="center"/>
          </w:tcPr>
          <w:p w14:paraId="20628921" w14:textId="77777777" w:rsidR="00987BBD" w:rsidRPr="00987BBD" w:rsidRDefault="00987BBD" w:rsidP="0054113D">
            <w:pPr>
              <w:spacing w:after="0" w:line="240" w:lineRule="auto"/>
              <w:jc w:val="center"/>
              <w:rPr>
                <w:rFonts w:eastAsia="Cambria" w:cs="Arial"/>
                <w:b/>
                <w:bCs/>
                <w:color w:val="000000" w:themeColor="text1"/>
                <w:sz w:val="20"/>
                <w:szCs w:val="18"/>
              </w:rPr>
            </w:pPr>
            <w:r w:rsidRPr="00987BBD">
              <w:rPr>
                <w:rFonts w:eastAsia="Cambria" w:cs="Arial"/>
                <w:b/>
                <w:bCs/>
                <w:color w:val="000000" w:themeColor="text1"/>
                <w:sz w:val="20"/>
                <w:szCs w:val="18"/>
              </w:rPr>
              <w:t>25</w:t>
            </w:r>
          </w:p>
        </w:tc>
        <w:tc>
          <w:tcPr>
            <w:tcW w:w="713" w:type="pct"/>
            <w:shd w:val="clear" w:color="auto" w:fill="D9D9D9" w:themeFill="background1" w:themeFillShade="D9"/>
            <w:vAlign w:val="center"/>
          </w:tcPr>
          <w:p w14:paraId="7F3387D5" w14:textId="77777777" w:rsidR="00987BBD" w:rsidRPr="00987BBD" w:rsidRDefault="00987BBD" w:rsidP="0054113D">
            <w:pPr>
              <w:spacing w:after="0" w:line="240" w:lineRule="auto"/>
              <w:jc w:val="center"/>
              <w:rPr>
                <w:rFonts w:eastAsia="Cambria" w:cs="Arial"/>
                <w:b/>
                <w:bCs/>
                <w:color w:val="000000" w:themeColor="text1"/>
                <w:sz w:val="20"/>
                <w:szCs w:val="18"/>
              </w:rPr>
            </w:pPr>
            <w:r w:rsidRPr="00987BBD">
              <w:rPr>
                <w:rFonts w:eastAsia="Cambria" w:cs="Arial"/>
                <w:b/>
                <w:bCs/>
                <w:color w:val="000000" w:themeColor="text1"/>
                <w:sz w:val="20"/>
                <w:szCs w:val="18"/>
              </w:rPr>
              <w:t>42</w:t>
            </w:r>
          </w:p>
        </w:tc>
        <w:tc>
          <w:tcPr>
            <w:tcW w:w="870" w:type="pct"/>
            <w:shd w:val="clear" w:color="auto" w:fill="D9D9D9" w:themeFill="background1" w:themeFillShade="D9"/>
            <w:vAlign w:val="center"/>
          </w:tcPr>
          <w:p w14:paraId="76EEF634" w14:textId="77777777" w:rsidR="00987BBD" w:rsidRPr="00987BBD" w:rsidRDefault="00987BBD" w:rsidP="0054113D">
            <w:pPr>
              <w:spacing w:after="0" w:line="240" w:lineRule="auto"/>
              <w:jc w:val="center"/>
              <w:rPr>
                <w:rFonts w:cs="Arial"/>
                <w:b/>
                <w:bCs/>
                <w:color w:val="000000" w:themeColor="text1"/>
                <w:sz w:val="20"/>
                <w:szCs w:val="18"/>
              </w:rPr>
            </w:pPr>
            <w:r w:rsidRPr="00987BBD">
              <w:rPr>
                <w:rFonts w:cs="Arial"/>
                <w:b/>
                <w:bCs/>
                <w:color w:val="000000" w:themeColor="text1"/>
                <w:sz w:val="20"/>
                <w:szCs w:val="18"/>
              </w:rPr>
              <w:t>1.68</w:t>
            </w:r>
          </w:p>
        </w:tc>
      </w:tr>
    </w:tbl>
    <w:p w14:paraId="25775E2F" w14:textId="77777777" w:rsidR="00987BBD" w:rsidRPr="002F6A18" w:rsidRDefault="00987BBD" w:rsidP="00987BBD">
      <w:pPr>
        <w:spacing w:after="0" w:line="240"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1C9A29ED" w:rsidR="00B72B03" w:rsidRDefault="00B72B03" w:rsidP="00975299">
      <w:pPr>
        <w:pStyle w:val="Prrafodelista"/>
        <w:numPr>
          <w:ilvl w:val="2"/>
          <w:numId w:val="5"/>
        </w:numPr>
        <w:spacing w:after="0" w:line="276" w:lineRule="auto"/>
        <w:ind w:left="993" w:hanging="567"/>
        <w:jc w:val="both"/>
        <w:rPr>
          <w:b/>
          <w:bCs/>
        </w:rPr>
      </w:pPr>
      <w:r>
        <w:rPr>
          <w:b/>
          <w:bCs/>
        </w:rPr>
        <w:t>Fortalezas</w:t>
      </w:r>
      <w:r w:rsidR="00024592">
        <w:rPr>
          <w:b/>
          <w:bCs/>
        </w:rPr>
        <w:t xml:space="preserve"> y Oportunidades:</w:t>
      </w:r>
    </w:p>
    <w:p w14:paraId="041C4C4A" w14:textId="77777777" w:rsidR="00024592" w:rsidRDefault="00024592" w:rsidP="00024592">
      <w:pPr>
        <w:pStyle w:val="Prrafodelista"/>
        <w:numPr>
          <w:ilvl w:val="0"/>
          <w:numId w:val="8"/>
        </w:numPr>
        <w:spacing w:line="276" w:lineRule="auto"/>
        <w:jc w:val="both"/>
      </w:pPr>
      <w:bookmarkStart w:id="1" w:name="_Hlk214617161"/>
      <w:r>
        <w:t>El Pp cuenta con un diagnóstico a través del PED 2022 – 2027, específicamente en el en su Eje Estratégico 1. Bienestar Social Sostenible, Tema 1.3. Salud para Elevar la Calidad de Vida.</w:t>
      </w:r>
    </w:p>
    <w:p w14:paraId="4CA75EA4" w14:textId="23C99C8E" w:rsidR="00024592" w:rsidRDefault="00024592" w:rsidP="00024592">
      <w:pPr>
        <w:pStyle w:val="Prrafodelista"/>
        <w:numPr>
          <w:ilvl w:val="0"/>
          <w:numId w:val="8"/>
        </w:numPr>
        <w:spacing w:line="276" w:lineRule="auto"/>
        <w:jc w:val="both"/>
      </w:pPr>
      <w:r>
        <w:t>En el ejercicio fiscal 2024, el Pp publicó una MIR en el Tomo IV de la Ley de Ingresos y Presupuesto de Egresos del Estado de Sinaloa</w:t>
      </w:r>
      <w:r w:rsidR="004C4DCC">
        <w:t>.</w:t>
      </w:r>
    </w:p>
    <w:p w14:paraId="4BE6966A" w14:textId="77777777" w:rsidR="00024592" w:rsidRDefault="00024592" w:rsidP="00024592">
      <w:pPr>
        <w:pStyle w:val="Prrafodelista"/>
        <w:numPr>
          <w:ilvl w:val="0"/>
          <w:numId w:val="8"/>
        </w:numPr>
        <w:spacing w:line="276" w:lineRule="auto"/>
        <w:jc w:val="both"/>
      </w:pPr>
      <w:r>
        <w:t>Asimismo, la identificación y cuantificación de las poblaciones potencial, objetivo y atendida son consistentes entre los documentos estratégicos del programa, tales como el PED, el PAE y la MIR.</w:t>
      </w:r>
    </w:p>
    <w:p w14:paraId="68253C5E" w14:textId="633FDB36" w:rsidR="00024592" w:rsidRDefault="00024592" w:rsidP="00024592">
      <w:pPr>
        <w:pStyle w:val="Prrafodelista"/>
        <w:numPr>
          <w:ilvl w:val="0"/>
          <w:numId w:val="8"/>
        </w:numPr>
        <w:spacing w:line="276" w:lineRule="auto"/>
        <w:jc w:val="both"/>
      </w:pPr>
      <w:r>
        <w:t>La UR muestra el Anexo 2. Árbol del Problema y el Anexo 3. Árbol de Objetivos identificando las causas y efectos del Problema y Objetivo central</w:t>
      </w:r>
      <w:r w:rsidR="004C4DCC">
        <w:t>.</w:t>
      </w:r>
    </w:p>
    <w:p w14:paraId="7789D682" w14:textId="1DC9D6BD" w:rsidR="00024592" w:rsidRDefault="00024592" w:rsidP="00024592">
      <w:pPr>
        <w:pStyle w:val="Prrafodelista"/>
        <w:numPr>
          <w:ilvl w:val="0"/>
          <w:numId w:val="8"/>
        </w:numPr>
        <w:spacing w:line="276" w:lineRule="auto"/>
        <w:jc w:val="both"/>
      </w:pPr>
      <w:r>
        <w:t>Se considera que si es una alternativa óptima de intervención para atender el problema o necesidad pública que justifica la existencia del Pp</w:t>
      </w:r>
      <w:r w:rsidR="004C4DCC">
        <w:t>.</w:t>
      </w:r>
    </w:p>
    <w:p w14:paraId="7DF73CCC" w14:textId="10C62D70" w:rsidR="00024592" w:rsidRDefault="00024592" w:rsidP="00024592">
      <w:pPr>
        <w:pStyle w:val="Prrafodelista"/>
        <w:numPr>
          <w:ilvl w:val="0"/>
          <w:numId w:val="8"/>
        </w:numPr>
        <w:spacing w:line="276" w:lineRule="auto"/>
        <w:jc w:val="both"/>
      </w:pPr>
      <w:r>
        <w:t>Se cuenta con los reportes trimestrales de los indicadores de resultados</w:t>
      </w:r>
      <w:r w:rsidR="004C4DCC">
        <w:t>.</w:t>
      </w:r>
    </w:p>
    <w:p w14:paraId="10E45CD1" w14:textId="436B91D3" w:rsidR="00024592" w:rsidRDefault="00024592" w:rsidP="00024592">
      <w:pPr>
        <w:pStyle w:val="Prrafodelista"/>
        <w:numPr>
          <w:ilvl w:val="0"/>
          <w:numId w:val="8"/>
        </w:numPr>
        <w:spacing w:line="276" w:lineRule="auto"/>
        <w:jc w:val="both"/>
      </w:pPr>
      <w:r>
        <w:t>Se pone a disposición del público cierta información operativa y financiera básica, principalmente a través del sitio web oficial del Gobierno del Estado de Sinaloa, del portal de la Secretaría de Salud estatal, y de la Plataforma Nacional de Transparencia (PNT)</w:t>
      </w:r>
      <w:r w:rsidR="004C4DCC">
        <w:t>.</w:t>
      </w:r>
    </w:p>
    <w:p w14:paraId="23C97766" w14:textId="582FF8E0" w:rsidR="00024592" w:rsidRDefault="00024592" w:rsidP="00024592">
      <w:pPr>
        <w:pStyle w:val="Prrafodelista"/>
        <w:numPr>
          <w:ilvl w:val="0"/>
          <w:numId w:val="8"/>
        </w:numPr>
        <w:spacing w:line="276" w:lineRule="auto"/>
        <w:jc w:val="both"/>
      </w:pPr>
      <w:r>
        <w:t>Se identifica el monto total de recursos asignados, y reporta su uso de manera general a través de los informes financieros trimestrales publicados por la Secretaría de Salud y la Secretaría de Administración y Finanzas</w:t>
      </w:r>
      <w:r w:rsidR="004C4DCC">
        <w:t>.</w:t>
      </w:r>
    </w:p>
    <w:p w14:paraId="02F643BF" w14:textId="481E9466" w:rsidR="00024592" w:rsidRDefault="00024592" w:rsidP="00024592">
      <w:pPr>
        <w:pStyle w:val="Prrafodelista"/>
        <w:numPr>
          <w:ilvl w:val="0"/>
          <w:numId w:val="8"/>
        </w:numPr>
        <w:spacing w:line="276" w:lineRule="auto"/>
        <w:jc w:val="both"/>
      </w:pPr>
      <w:r>
        <w:t>La modalidad presupuestaria del Pp aplicado es consistente con el objetivo que éste persigue, con los bienes y/o servicios que genera, con sus actividades sustantivas y, en conjunto, con su mecanismo de intervención</w:t>
      </w:r>
      <w:r w:rsidR="004C4DCC">
        <w:t>.</w:t>
      </w:r>
    </w:p>
    <w:p w14:paraId="3C91B900" w14:textId="77777777" w:rsidR="00024592" w:rsidRDefault="00024592" w:rsidP="00024592">
      <w:pPr>
        <w:pStyle w:val="Prrafodelista"/>
        <w:numPr>
          <w:ilvl w:val="0"/>
          <w:numId w:val="8"/>
        </w:numPr>
        <w:spacing w:line="276" w:lineRule="auto"/>
        <w:jc w:val="both"/>
      </w:pPr>
      <w:r>
        <w:t xml:space="preserve">Los elementos del diseño de la propuesta de atención del Pp (objetivos, bienes y/o servicios generados y poblaciones) se retoman y guardan congruencia con documentos estratégicos, </w:t>
      </w:r>
      <w:r>
        <w:lastRenderedPageBreak/>
        <w:t>institucionales y normativos de la Unidad Responsable, como son: PND 2019 – 2024,  Programa de Acción Especifico de Prevención de Accidentes, Lesiones y Seguridad Vial 2020 – 2024, PED Sinaloa 2022-2027.</w:t>
      </w:r>
    </w:p>
    <w:p w14:paraId="3D72FAD6" w14:textId="6E8D91C8" w:rsidR="00024592" w:rsidRDefault="00024592" w:rsidP="00024592">
      <w:pPr>
        <w:pStyle w:val="Prrafodelista"/>
        <w:numPr>
          <w:ilvl w:val="0"/>
          <w:numId w:val="8"/>
        </w:numPr>
        <w:spacing w:line="276" w:lineRule="auto"/>
        <w:jc w:val="both"/>
      </w:pPr>
      <w:r>
        <w:t>El Pp cuenta con un indicador Fin y uno de Propósito en su MIR</w:t>
      </w:r>
      <w:r w:rsidR="004C4DCC">
        <w:t>.</w:t>
      </w:r>
    </w:p>
    <w:p w14:paraId="7F0DB94F" w14:textId="225D40D9" w:rsidR="00024592" w:rsidRDefault="00024592" w:rsidP="00024592">
      <w:pPr>
        <w:pStyle w:val="Prrafodelista"/>
        <w:numPr>
          <w:ilvl w:val="0"/>
          <w:numId w:val="8"/>
        </w:numPr>
        <w:spacing w:line="276" w:lineRule="auto"/>
        <w:jc w:val="both"/>
      </w:pPr>
      <w:r>
        <w:t>El objetivo central del Pp se vincula con los Objetivos de Desarrollo Sostenible (ODS) de la Agenda 2030</w:t>
      </w:r>
      <w:r w:rsidR="004C4DCC">
        <w:t>.</w:t>
      </w:r>
    </w:p>
    <w:p w14:paraId="4C8AF62C" w14:textId="704F041A" w:rsidR="00024592" w:rsidRDefault="00024592" w:rsidP="00024592">
      <w:pPr>
        <w:pStyle w:val="Prrafodelista"/>
        <w:numPr>
          <w:ilvl w:val="0"/>
          <w:numId w:val="8"/>
        </w:numPr>
        <w:spacing w:line="276" w:lineRule="auto"/>
        <w:jc w:val="both"/>
      </w:pPr>
      <w:r>
        <w:t>Dentro de la Estructura Programática para el Ejercicio Fiscal 2024 del Gobierno del Estado de Sinaloa, se identifican algunos Programas Presupuestarios (Pp) que presentan complementariedad o similitud con el Pp</w:t>
      </w:r>
      <w:r w:rsidR="004C4DCC">
        <w:t>.</w:t>
      </w:r>
    </w:p>
    <w:p w14:paraId="0983D7BA" w14:textId="6A3437D6" w:rsidR="00B72B03" w:rsidRPr="00B72B03" w:rsidRDefault="00024592" w:rsidP="00024592">
      <w:pPr>
        <w:pStyle w:val="Prrafodelista"/>
        <w:numPr>
          <w:ilvl w:val="0"/>
          <w:numId w:val="8"/>
        </w:numPr>
        <w:spacing w:line="276" w:lineRule="auto"/>
        <w:jc w:val="both"/>
      </w:pPr>
      <w:r>
        <w:t>Se identifican indicadores estratégicos e indicadores de gestión en el nivel de componentes y actividades</w:t>
      </w:r>
      <w:r w:rsidR="004C4DCC">
        <w:t>.</w:t>
      </w:r>
    </w:p>
    <w:p w14:paraId="5B3242D7" w14:textId="2293B551"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024592">
        <w:rPr>
          <w:b/>
          <w:bCs/>
        </w:rPr>
        <w:t xml:space="preserve"> y Amenazas:</w:t>
      </w:r>
    </w:p>
    <w:p w14:paraId="2F05D3B3" w14:textId="1E597D9A" w:rsidR="00024592" w:rsidRDefault="00024592" w:rsidP="00024592">
      <w:pPr>
        <w:pStyle w:val="Prrafodelista"/>
        <w:numPr>
          <w:ilvl w:val="0"/>
          <w:numId w:val="8"/>
        </w:numPr>
        <w:spacing w:line="276" w:lineRule="auto"/>
        <w:jc w:val="both"/>
      </w:pPr>
      <w:r>
        <w:t>El problema o necesidad pública que pretende atender el Pp no muestra ni define la evolución que el problema ha experimentado ni menciona datos para el ejercicio fiscal evaluado así mismo, no se encuentra contextualizado en la situación socioeconómica actual del estado, según información o estadísticas oficiales disponibles</w:t>
      </w:r>
      <w:r w:rsidR="004C4DCC">
        <w:t>.</w:t>
      </w:r>
    </w:p>
    <w:p w14:paraId="0D97572B" w14:textId="374CF4D6" w:rsidR="00024592" w:rsidRDefault="00024592" w:rsidP="00024592">
      <w:pPr>
        <w:pStyle w:val="Prrafodelista"/>
        <w:numPr>
          <w:ilvl w:val="0"/>
          <w:numId w:val="8"/>
        </w:numPr>
        <w:spacing w:line="276" w:lineRule="auto"/>
        <w:jc w:val="both"/>
      </w:pPr>
      <w:r>
        <w:t>No se presenta una evolución de las poblaciones ni se menciona que se considere el presupuesto que requiere el Pp para brindar atención</w:t>
      </w:r>
      <w:r w:rsidR="004C4DCC">
        <w:t>.</w:t>
      </w:r>
    </w:p>
    <w:p w14:paraId="01F7B7A2" w14:textId="4950AEC1" w:rsidR="00024592" w:rsidRDefault="00024592" w:rsidP="00024592">
      <w:pPr>
        <w:pStyle w:val="Prrafodelista"/>
        <w:numPr>
          <w:ilvl w:val="0"/>
          <w:numId w:val="8"/>
        </w:numPr>
        <w:spacing w:line="276" w:lineRule="auto"/>
        <w:jc w:val="both"/>
      </w:pPr>
      <w:r>
        <w:t>Los criterios de elegibilidad no se encuentran sistematizados ni publicados en un documento operativo o normativo específico, lo que limita su transparencia y aplicación estandarizada</w:t>
      </w:r>
      <w:r w:rsidR="004C4DCC">
        <w:t>.</w:t>
      </w:r>
    </w:p>
    <w:p w14:paraId="174C7F5F" w14:textId="3D9CF430" w:rsidR="00024592" w:rsidRDefault="00024592" w:rsidP="00024592">
      <w:pPr>
        <w:pStyle w:val="Prrafodelista"/>
        <w:numPr>
          <w:ilvl w:val="0"/>
          <w:numId w:val="8"/>
        </w:numPr>
        <w:spacing w:line="276" w:lineRule="auto"/>
        <w:jc w:val="both"/>
      </w:pPr>
      <w:r>
        <w:t>El Pp no cuenta con procedimientos formalmente documentados y sistematizados para el registro, trámite y seguimiento de solicitudes por parte de la población objetivo</w:t>
      </w:r>
      <w:r w:rsidR="004C4DCC">
        <w:t>.</w:t>
      </w:r>
    </w:p>
    <w:p w14:paraId="6CBF17DC" w14:textId="00970B66" w:rsidR="00024592" w:rsidRDefault="00024592" w:rsidP="00024592">
      <w:pPr>
        <w:pStyle w:val="Prrafodelista"/>
        <w:numPr>
          <w:ilvl w:val="0"/>
          <w:numId w:val="8"/>
        </w:numPr>
        <w:spacing w:line="276" w:lineRule="auto"/>
        <w:jc w:val="both"/>
      </w:pPr>
      <w:r>
        <w:t>El Pp no cuenta con procedimientos formalmente documentados y publicados para la entrega de bienes y servicios</w:t>
      </w:r>
      <w:r w:rsidR="004C4DCC">
        <w:t>.</w:t>
      </w:r>
    </w:p>
    <w:p w14:paraId="7A03342D" w14:textId="14A45D2C" w:rsidR="00024592" w:rsidRDefault="00024592" w:rsidP="00024592">
      <w:pPr>
        <w:pStyle w:val="Prrafodelista"/>
        <w:numPr>
          <w:ilvl w:val="0"/>
          <w:numId w:val="8"/>
        </w:numPr>
        <w:spacing w:line="276" w:lineRule="auto"/>
        <w:jc w:val="both"/>
      </w:pPr>
      <w:r>
        <w:t>La información respecto a la población atentada no se encuentra completamente sistematizada ni estandarizada como un padrón formal, lo que limita su uso para análisis longitudinal o trazabilidad individual</w:t>
      </w:r>
      <w:r w:rsidR="004C4DCC">
        <w:t>.</w:t>
      </w:r>
    </w:p>
    <w:p w14:paraId="67F599DB" w14:textId="77777777" w:rsidR="00024592" w:rsidRDefault="00024592" w:rsidP="00024592">
      <w:pPr>
        <w:pStyle w:val="Prrafodelista"/>
        <w:numPr>
          <w:ilvl w:val="0"/>
          <w:numId w:val="8"/>
        </w:numPr>
        <w:spacing w:line="276" w:lineRule="auto"/>
        <w:jc w:val="both"/>
      </w:pPr>
      <w:r>
        <w:t>La información disponible del Pp no es integral ni está sistematizada en una sola fuente, y algunos contenidos clave no están publicados o son de difícil acceso para la ciudadanía general.</w:t>
      </w:r>
    </w:p>
    <w:p w14:paraId="541C5BF8" w14:textId="77777777" w:rsidR="00024592" w:rsidRDefault="00024592" w:rsidP="00024592">
      <w:pPr>
        <w:pStyle w:val="Prrafodelista"/>
        <w:numPr>
          <w:ilvl w:val="0"/>
          <w:numId w:val="8"/>
        </w:numPr>
        <w:spacing w:line="276" w:lineRule="auto"/>
        <w:jc w:val="both"/>
      </w:pPr>
      <w:r>
        <w:t>El programa no establece mecanismos de participación ciudadana en procesos de planeación, seguimiento o evaluación. No se identifican consejos ciudadanos, convocatorias abiertas, foros participativos ni otras instancias que integren la voz de las y los beneficiarios en la toma de decisiones. El programa no utiliza herramientas digitales propias para difundir, gestionar o monitorear su operación. No cuenta con sitio web, plataforma interactiva, aplicación móvil ni mecanismos digitales para retroalimentación o consulta ciudadana.</w:t>
      </w:r>
    </w:p>
    <w:p w14:paraId="5F012B22" w14:textId="77777777" w:rsidR="00024592" w:rsidRDefault="00024592" w:rsidP="00024592">
      <w:pPr>
        <w:pStyle w:val="Prrafodelista"/>
        <w:numPr>
          <w:ilvl w:val="0"/>
          <w:numId w:val="8"/>
        </w:numPr>
        <w:spacing w:line="276" w:lineRule="auto"/>
        <w:jc w:val="both"/>
      </w:pPr>
      <w:r>
        <w:t>No obstante, el nivel de desglose y sistematización es limitado, y no se documentan estimaciones específicas de gasto por servicio ni proyecciones financieras detalladas.</w:t>
      </w:r>
    </w:p>
    <w:p w14:paraId="4AE0A2B9" w14:textId="2D3CE831" w:rsidR="00024592" w:rsidRDefault="00024592" w:rsidP="00024592">
      <w:pPr>
        <w:pStyle w:val="Prrafodelista"/>
        <w:numPr>
          <w:ilvl w:val="0"/>
          <w:numId w:val="8"/>
        </w:numPr>
        <w:spacing w:line="276" w:lineRule="auto"/>
        <w:jc w:val="both"/>
      </w:pPr>
      <w:r>
        <w:t>El ISD no permite de forma suficiente y sistemática obtener información completa sobre todos los elementos clave del diseño programático</w:t>
      </w:r>
      <w:r w:rsidR="004C4DCC">
        <w:t>.</w:t>
      </w:r>
    </w:p>
    <w:p w14:paraId="26CF7836" w14:textId="77777777" w:rsidR="00024592" w:rsidRDefault="00024592" w:rsidP="00024592">
      <w:pPr>
        <w:pStyle w:val="Prrafodelista"/>
        <w:numPr>
          <w:ilvl w:val="0"/>
          <w:numId w:val="8"/>
        </w:numPr>
        <w:spacing w:line="276" w:lineRule="auto"/>
        <w:jc w:val="both"/>
      </w:pPr>
      <w:r>
        <w:lastRenderedPageBreak/>
        <w:t>Los indicadores actuales no permiten evaluar adecuadamente el desempeño global del programa, ya que no están alineados a resultados intermedios (cambio en conocimientos, prácticas, percepción de riesgo, etc.).</w:t>
      </w:r>
    </w:p>
    <w:p w14:paraId="004383C4" w14:textId="76156126" w:rsidR="00024592" w:rsidRDefault="00024592" w:rsidP="00024592">
      <w:pPr>
        <w:pStyle w:val="Prrafodelista"/>
        <w:numPr>
          <w:ilvl w:val="0"/>
          <w:numId w:val="8"/>
        </w:numPr>
        <w:spacing w:line="276" w:lineRule="auto"/>
        <w:jc w:val="both"/>
      </w:pPr>
      <w:r>
        <w:t>No se adjuntó evidencia documental respecto a las fichas técnicas de cada uno de los indicadores que permiten verificar que se cumple con los criterios establecidos y aplicables para el diseño de indicadores de desempeño</w:t>
      </w:r>
      <w:r w:rsidR="004C4DCC">
        <w:t>.</w:t>
      </w:r>
    </w:p>
    <w:p w14:paraId="3922A901" w14:textId="77777777" w:rsidR="00024592" w:rsidRDefault="00024592" w:rsidP="00024592">
      <w:pPr>
        <w:pStyle w:val="Prrafodelista"/>
        <w:numPr>
          <w:ilvl w:val="0"/>
          <w:numId w:val="8"/>
        </w:numPr>
        <w:spacing w:line="276" w:lineRule="auto"/>
        <w:jc w:val="both"/>
      </w:pPr>
      <w:r>
        <w:t>Respecto a los medios de verificación solamente se describen las ubicaciones electrónicas de los medios de verificación, no mencionan los nombres de los documentos respectivos que contienen la información en el avance de las metas. Así como tampoco se definen las áreas administrativas responsables de generar o publicar la información, ni mencionan el año o periodo en que se emite el documento, lo cual limita su transparencia, verificabilidad y acceso por terceros.</w:t>
      </w:r>
    </w:p>
    <w:p w14:paraId="47C2EBBE" w14:textId="523C805D" w:rsidR="00A165BB" w:rsidRPr="00A165BB" w:rsidRDefault="00024592" w:rsidP="00024592">
      <w:pPr>
        <w:pStyle w:val="Prrafodelista"/>
        <w:numPr>
          <w:ilvl w:val="0"/>
          <w:numId w:val="8"/>
        </w:numPr>
        <w:spacing w:line="276" w:lineRule="auto"/>
        <w:jc w:val="both"/>
      </w:pPr>
      <w:r>
        <w:t>De acuerdo con el reporte de los indicadores de resultados correspondientes al cuarto trimestre de dicha MIR, se identificó que 2 de los 4 indicadores de la MIR tuvieron un avance superior o igual al 100%, por otro lado, los demás indicadores alcanzaron una meta de tan solo 20%</w:t>
      </w:r>
      <w:r w:rsidR="004C4DCC">
        <w:t>.</w:t>
      </w:r>
    </w:p>
    <w:bookmarkEnd w:id="1"/>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74F39640" w14:textId="77777777" w:rsidR="00024592" w:rsidRPr="003877C4" w:rsidRDefault="00024592" w:rsidP="00024592">
      <w:pPr>
        <w:jc w:val="both"/>
        <w:rPr>
          <w:rFonts w:cs="Arial"/>
          <w:szCs w:val="20"/>
        </w:rPr>
      </w:pPr>
      <w:r w:rsidRPr="003877C4">
        <w:rPr>
          <w:rFonts w:cs="Arial"/>
          <w:szCs w:val="20"/>
        </w:rPr>
        <w:t xml:space="preserve">En la Sección </w:t>
      </w:r>
      <w:r w:rsidRPr="003877C4">
        <w:rPr>
          <w:rFonts w:cs="Arial"/>
          <w:b/>
          <w:bCs/>
          <w:szCs w:val="20"/>
        </w:rPr>
        <w:t>Problema o necesidad pública</w:t>
      </w:r>
      <w:r w:rsidRPr="003877C4">
        <w:rPr>
          <w:rFonts w:cs="Arial"/>
          <w:szCs w:val="20"/>
        </w:rPr>
        <w:t xml:space="preserve"> la valoración fue de </w:t>
      </w:r>
      <w:r>
        <w:rPr>
          <w:rFonts w:cs="Arial"/>
          <w:b/>
          <w:bCs/>
          <w:szCs w:val="20"/>
        </w:rPr>
        <w:t>1</w:t>
      </w:r>
      <w:r w:rsidRPr="003877C4">
        <w:rPr>
          <w:rFonts w:cs="Arial"/>
          <w:b/>
          <w:bCs/>
          <w:szCs w:val="20"/>
        </w:rPr>
        <w:t xml:space="preserve"> punto</w:t>
      </w:r>
      <w:r w:rsidRPr="003877C4">
        <w:rPr>
          <w:rFonts w:cs="Arial"/>
          <w:szCs w:val="20"/>
        </w:rPr>
        <w:t xml:space="preserve">, los cuales emanan de 4 preguntas que fueron valoradas. De ellas se obtuvieron </w:t>
      </w:r>
      <w:r>
        <w:rPr>
          <w:rFonts w:cs="Arial"/>
          <w:szCs w:val="20"/>
        </w:rPr>
        <w:t>4</w:t>
      </w:r>
      <w:r w:rsidRPr="003877C4">
        <w:rPr>
          <w:rFonts w:cs="Arial"/>
          <w:szCs w:val="20"/>
        </w:rPr>
        <w:t xml:space="preserve"> de los 16 puntos disponibles. En lo que corresponde a la Sección </w:t>
      </w:r>
      <w:r w:rsidRPr="003877C4">
        <w:rPr>
          <w:rFonts w:cs="Arial"/>
          <w:b/>
          <w:bCs/>
          <w:szCs w:val="20"/>
        </w:rPr>
        <w:t>Diseño de la propuesta de atención</w:t>
      </w:r>
      <w:r w:rsidRPr="003877C4">
        <w:rPr>
          <w:rFonts w:cs="Arial"/>
          <w:szCs w:val="20"/>
        </w:rPr>
        <w:t xml:space="preserve"> se obtuvieron </w:t>
      </w:r>
      <w:r w:rsidRPr="001A53DE">
        <w:rPr>
          <w:rFonts w:cs="Arial"/>
          <w:b/>
          <w:bCs/>
          <w:szCs w:val="20"/>
        </w:rPr>
        <w:t>2.8</w:t>
      </w:r>
      <w:r w:rsidRPr="003877C4">
        <w:rPr>
          <w:rFonts w:cs="Arial"/>
          <w:b/>
          <w:bCs/>
          <w:szCs w:val="20"/>
        </w:rPr>
        <w:t xml:space="preserve"> puntos</w:t>
      </w:r>
      <w:r w:rsidRPr="003877C4">
        <w:rPr>
          <w:rFonts w:cs="Arial"/>
          <w:szCs w:val="20"/>
        </w:rPr>
        <w:t>, de los cuales fueron consideradas 5 preguntas. De ellas se obtuvieron 1</w:t>
      </w:r>
      <w:r>
        <w:rPr>
          <w:rFonts w:cs="Arial"/>
          <w:szCs w:val="20"/>
        </w:rPr>
        <w:t>4</w:t>
      </w:r>
      <w:r w:rsidRPr="003877C4">
        <w:rPr>
          <w:rFonts w:cs="Arial"/>
          <w:szCs w:val="20"/>
        </w:rPr>
        <w:t xml:space="preserve"> de los 20 puntos disponibles.</w:t>
      </w:r>
    </w:p>
    <w:p w14:paraId="3FD7F90E" w14:textId="77777777" w:rsidR="00024592" w:rsidRPr="003877C4" w:rsidRDefault="00024592" w:rsidP="00024592">
      <w:pPr>
        <w:jc w:val="both"/>
        <w:rPr>
          <w:rFonts w:cs="Arial"/>
          <w:szCs w:val="20"/>
        </w:rPr>
      </w:pPr>
      <w:r w:rsidRPr="003877C4">
        <w:rPr>
          <w:rFonts w:cs="Arial"/>
          <w:szCs w:val="20"/>
        </w:rPr>
        <w:t xml:space="preserve">Asimismo, en la Sección </w:t>
      </w:r>
      <w:r w:rsidRPr="003877C4">
        <w:rPr>
          <w:rFonts w:cs="Arial"/>
          <w:b/>
          <w:bCs/>
          <w:szCs w:val="20"/>
        </w:rPr>
        <w:t>Diseño operativo</w:t>
      </w:r>
      <w:r w:rsidRPr="003877C4">
        <w:rPr>
          <w:rFonts w:cs="Arial"/>
          <w:szCs w:val="20"/>
        </w:rPr>
        <w:t xml:space="preserve"> se obtuvieron </w:t>
      </w:r>
      <w:r>
        <w:rPr>
          <w:rFonts w:cs="Arial"/>
          <w:b/>
          <w:bCs/>
          <w:szCs w:val="20"/>
        </w:rPr>
        <w:t>1</w:t>
      </w:r>
      <w:r w:rsidRPr="003877C4">
        <w:rPr>
          <w:rFonts w:cs="Arial"/>
          <w:b/>
          <w:bCs/>
          <w:szCs w:val="20"/>
        </w:rPr>
        <w:t xml:space="preserve"> puntos</w:t>
      </w:r>
      <w:r w:rsidRPr="003877C4">
        <w:rPr>
          <w:rFonts w:cs="Arial"/>
          <w:szCs w:val="20"/>
        </w:rPr>
        <w:t xml:space="preserve">, de los cuales fueron consideradas 10 preguntas, de ellas se obtuvieron </w:t>
      </w:r>
      <w:r>
        <w:rPr>
          <w:rFonts w:cs="Arial"/>
          <w:szCs w:val="20"/>
        </w:rPr>
        <w:t>10</w:t>
      </w:r>
      <w:r w:rsidRPr="003877C4">
        <w:rPr>
          <w:rFonts w:cs="Arial"/>
          <w:szCs w:val="20"/>
        </w:rPr>
        <w:t xml:space="preserve"> de 40 puntos disponibles. En el apartado de la Sección </w:t>
      </w:r>
      <w:r w:rsidRPr="003877C4">
        <w:rPr>
          <w:rFonts w:cs="Arial"/>
          <w:b/>
          <w:bCs/>
          <w:szCs w:val="20"/>
        </w:rPr>
        <w:t>Consistencia programática y normativa</w:t>
      </w:r>
      <w:r w:rsidRPr="003877C4">
        <w:rPr>
          <w:rFonts w:cs="Arial"/>
          <w:szCs w:val="20"/>
        </w:rPr>
        <w:t xml:space="preserve"> se lograron </w:t>
      </w:r>
      <w:r>
        <w:rPr>
          <w:rFonts w:cs="Arial"/>
          <w:b/>
          <w:bCs/>
          <w:szCs w:val="20"/>
        </w:rPr>
        <w:t>4</w:t>
      </w:r>
      <w:r w:rsidRPr="003877C4">
        <w:rPr>
          <w:rFonts w:cs="Arial"/>
          <w:b/>
          <w:bCs/>
          <w:szCs w:val="20"/>
        </w:rPr>
        <w:t xml:space="preserve"> puntos</w:t>
      </w:r>
      <w:r w:rsidRPr="003877C4">
        <w:rPr>
          <w:rFonts w:cs="Arial"/>
          <w:szCs w:val="20"/>
        </w:rPr>
        <w:t xml:space="preserve">, considerando solamente 1 pregunta, en cuanto a la Sección de </w:t>
      </w:r>
      <w:r w:rsidRPr="003877C4">
        <w:rPr>
          <w:rFonts w:cs="Arial"/>
          <w:b/>
          <w:bCs/>
          <w:szCs w:val="20"/>
        </w:rPr>
        <w:t>Contribución a objetivos de la planeación estatal</w:t>
      </w:r>
      <w:r w:rsidRPr="003877C4">
        <w:rPr>
          <w:rFonts w:cs="Arial"/>
          <w:szCs w:val="20"/>
        </w:rPr>
        <w:t xml:space="preserve">, se obtuvieron </w:t>
      </w:r>
      <w:r w:rsidRPr="003877C4">
        <w:rPr>
          <w:rFonts w:cs="Arial"/>
          <w:b/>
          <w:bCs/>
          <w:szCs w:val="20"/>
        </w:rPr>
        <w:t>4 puntos</w:t>
      </w:r>
      <w:r w:rsidRPr="003877C4">
        <w:rPr>
          <w:rFonts w:cs="Arial"/>
          <w:szCs w:val="20"/>
        </w:rPr>
        <w:t>, considerando 1 pregunta.</w:t>
      </w:r>
    </w:p>
    <w:p w14:paraId="5B7A65D3" w14:textId="77777777" w:rsidR="00024592" w:rsidRPr="00BA6A51" w:rsidRDefault="00024592" w:rsidP="00024592">
      <w:pPr>
        <w:jc w:val="both"/>
        <w:rPr>
          <w:rFonts w:cs="Arial"/>
          <w:szCs w:val="20"/>
        </w:rPr>
      </w:pPr>
      <w:r w:rsidRPr="003877C4">
        <w:rPr>
          <w:rFonts w:cs="Arial"/>
          <w:szCs w:val="20"/>
        </w:rPr>
        <w:t xml:space="preserve">Por otro lado, en la Sección </w:t>
      </w:r>
      <w:r w:rsidRPr="003877C4">
        <w:rPr>
          <w:rFonts w:cs="Arial"/>
          <w:b/>
          <w:bCs/>
          <w:szCs w:val="20"/>
        </w:rPr>
        <w:t>Instrumento de Seguimiento del Desempeño</w:t>
      </w:r>
      <w:r w:rsidRPr="003877C4">
        <w:rPr>
          <w:rFonts w:cs="Arial"/>
          <w:szCs w:val="20"/>
        </w:rPr>
        <w:t xml:space="preserve">, se obtuvo una puntuación de </w:t>
      </w:r>
      <w:r>
        <w:rPr>
          <w:rFonts w:cs="Arial"/>
          <w:b/>
          <w:bCs/>
          <w:szCs w:val="20"/>
        </w:rPr>
        <w:t>1.5 puntos</w:t>
      </w:r>
      <w:r w:rsidRPr="003877C4">
        <w:rPr>
          <w:rFonts w:cs="Arial"/>
          <w:szCs w:val="20"/>
        </w:rPr>
        <w:t xml:space="preserve">, para lo cual se consideraron 4 preguntas, de ellas se obtuvieron </w:t>
      </w:r>
      <w:r>
        <w:rPr>
          <w:rFonts w:cs="Arial"/>
          <w:szCs w:val="20"/>
        </w:rPr>
        <w:t>6</w:t>
      </w:r>
      <w:r w:rsidRPr="003877C4">
        <w:rPr>
          <w:rFonts w:cs="Arial"/>
          <w:szCs w:val="20"/>
        </w:rPr>
        <w:t xml:space="preserve"> de 16 puntos disponibles.</w:t>
      </w:r>
    </w:p>
    <w:p w14:paraId="7B6B25C3" w14:textId="7B49138A" w:rsidR="00024592" w:rsidRDefault="00024592" w:rsidP="00024592">
      <w:pPr>
        <w:spacing w:after="0" w:line="276" w:lineRule="auto"/>
        <w:ind w:left="284"/>
        <w:jc w:val="center"/>
        <w:rPr>
          <w:lang w:val="es-ES"/>
        </w:rPr>
      </w:pPr>
      <w:r>
        <w:rPr>
          <w:rFonts w:asciiTheme="minorHAnsi" w:hAnsiTheme="minorHAnsi" w:cstheme="minorHAnsi"/>
          <w:noProof/>
          <w:lang w:eastAsia="es-MX"/>
        </w:rPr>
        <w:drawing>
          <wp:inline distT="0" distB="0" distL="0" distR="0" wp14:anchorId="6868398E" wp14:editId="4F2C8DCF">
            <wp:extent cx="3895725" cy="2317339"/>
            <wp:effectExtent l="0" t="0" r="0" b="6985"/>
            <wp:docPr id="804567897"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0958" cy="2320452"/>
                    </a:xfrm>
                    <a:prstGeom prst="rect">
                      <a:avLst/>
                    </a:prstGeom>
                    <a:noFill/>
                  </pic:spPr>
                </pic:pic>
              </a:graphicData>
            </a:graphic>
          </wp:inline>
        </w:drawing>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29B4703B" w14:textId="22D5365F" w:rsidR="006E67EA" w:rsidRDefault="00024592" w:rsidP="006E67EA">
      <w:pPr>
        <w:pStyle w:val="Prrafodelista"/>
        <w:numPr>
          <w:ilvl w:val="0"/>
          <w:numId w:val="2"/>
        </w:numPr>
        <w:spacing w:after="0" w:line="276" w:lineRule="auto"/>
        <w:jc w:val="both"/>
      </w:pPr>
      <w:r w:rsidRPr="00024592">
        <w:t>Establecer un diagnóstico que permita identificar los elementos descritos en los Aspectos a Considerar de CONEVAL</w:t>
      </w:r>
      <w:r>
        <w:t>.</w:t>
      </w:r>
    </w:p>
    <w:p w14:paraId="7F959642" w14:textId="2E462E05" w:rsidR="00024592" w:rsidRDefault="00024592" w:rsidP="006E67EA">
      <w:pPr>
        <w:pStyle w:val="Prrafodelista"/>
        <w:numPr>
          <w:ilvl w:val="0"/>
          <w:numId w:val="2"/>
        </w:numPr>
        <w:spacing w:after="0" w:line="276" w:lineRule="auto"/>
        <w:jc w:val="both"/>
      </w:pPr>
      <w:r w:rsidRPr="00024592">
        <w:t>Revisar que coincidan la población objetivo, así como cuantificar la población atendida</w:t>
      </w:r>
      <w:r>
        <w:t>.</w:t>
      </w:r>
    </w:p>
    <w:p w14:paraId="30B1A8BD" w14:textId="087B2C47" w:rsidR="00024592" w:rsidRDefault="00024592" w:rsidP="00024592">
      <w:pPr>
        <w:pStyle w:val="Prrafodelista"/>
        <w:numPr>
          <w:ilvl w:val="0"/>
          <w:numId w:val="2"/>
        </w:numPr>
        <w:spacing w:after="0" w:line="276" w:lineRule="auto"/>
        <w:jc w:val="both"/>
      </w:pPr>
      <w:r>
        <w:t>Elaborar una justificación y análisis del problema o necesidad pública que busca atender con el Pp, con datos y estadísticas actuales, en contexto con la situación actual de Sinaloa.</w:t>
      </w:r>
    </w:p>
    <w:p w14:paraId="2AA32A9C" w14:textId="6522F0C2" w:rsidR="00024592" w:rsidRDefault="00024592" w:rsidP="00024592">
      <w:pPr>
        <w:pStyle w:val="Prrafodelista"/>
        <w:numPr>
          <w:ilvl w:val="0"/>
          <w:numId w:val="2"/>
        </w:numPr>
        <w:spacing w:after="0" w:line="276" w:lineRule="auto"/>
        <w:jc w:val="both"/>
      </w:pPr>
      <w:r>
        <w:t>Presentar una evolución de las poblaciones ni se menciona que se considere el presupuesto que requiere el Pp para brindar atención.</w:t>
      </w:r>
    </w:p>
    <w:p w14:paraId="50A6753E" w14:textId="0938DA7F" w:rsidR="00024592" w:rsidRDefault="00024592" w:rsidP="00024592">
      <w:pPr>
        <w:pStyle w:val="Prrafodelista"/>
        <w:numPr>
          <w:ilvl w:val="0"/>
          <w:numId w:val="2"/>
        </w:numPr>
        <w:spacing w:after="0" w:line="276" w:lineRule="auto"/>
        <w:jc w:val="both"/>
      </w:pPr>
      <w:r>
        <w:t>Realizar las Reglas de Operación del Pp.</w:t>
      </w:r>
    </w:p>
    <w:p w14:paraId="7EC29E7D" w14:textId="6230E7C8" w:rsidR="00024592" w:rsidRDefault="00024592" w:rsidP="00024592">
      <w:pPr>
        <w:pStyle w:val="Prrafodelista"/>
        <w:numPr>
          <w:ilvl w:val="0"/>
          <w:numId w:val="2"/>
        </w:numPr>
        <w:spacing w:after="0" w:line="276" w:lineRule="auto"/>
        <w:jc w:val="both"/>
      </w:pPr>
      <w:r>
        <w:t>Contar con un padrón de beneficiarios sistematizado.</w:t>
      </w:r>
    </w:p>
    <w:p w14:paraId="0B470FDC" w14:textId="3A9E33AB" w:rsidR="00024592" w:rsidRDefault="00024592" w:rsidP="00024592">
      <w:pPr>
        <w:pStyle w:val="Prrafodelista"/>
        <w:numPr>
          <w:ilvl w:val="0"/>
          <w:numId w:val="2"/>
        </w:numPr>
        <w:spacing w:after="0" w:line="276" w:lineRule="auto"/>
        <w:jc w:val="both"/>
      </w:pPr>
      <w:r>
        <w:t>Publicar en el sitio web los documentos normativos y/u operativos, información financiera sobre el presupuesto asignado, así como los informes del ejercicio trimestral del gasto, indicadores, evaluaciones, estudios y encuestas.</w:t>
      </w:r>
    </w:p>
    <w:p w14:paraId="40381482" w14:textId="6B76761D" w:rsidR="00024592" w:rsidRDefault="00024592" w:rsidP="00024592">
      <w:pPr>
        <w:pStyle w:val="Prrafodelista"/>
        <w:numPr>
          <w:ilvl w:val="0"/>
          <w:numId w:val="2"/>
        </w:numPr>
        <w:spacing w:after="0" w:line="276" w:lineRule="auto"/>
        <w:jc w:val="both"/>
      </w:pPr>
      <w:r>
        <w:t>Contar con mecanismos para fomentar los principios de gobierno abierto, la participación ciudadana, la accesibilidad y la innovación tecnológica.</w:t>
      </w:r>
    </w:p>
    <w:p w14:paraId="427791CC" w14:textId="5786DA6D" w:rsidR="00024592" w:rsidRDefault="00024592" w:rsidP="00024592">
      <w:pPr>
        <w:pStyle w:val="Prrafodelista"/>
        <w:numPr>
          <w:ilvl w:val="0"/>
          <w:numId w:val="2"/>
        </w:numPr>
        <w:spacing w:after="0" w:line="276" w:lineRule="auto"/>
        <w:jc w:val="both"/>
      </w:pPr>
      <w:r>
        <w:t>Identifica, cuantifica y desglosar el presupuesto aprobado, modificado y ejercido que se realizan para generar los bienes y/o los servicios que ofrece.</w:t>
      </w:r>
    </w:p>
    <w:p w14:paraId="00211F65" w14:textId="74D98316" w:rsidR="00024592" w:rsidRDefault="00024592" w:rsidP="00024592">
      <w:pPr>
        <w:pStyle w:val="Prrafodelista"/>
        <w:numPr>
          <w:ilvl w:val="0"/>
          <w:numId w:val="2"/>
        </w:numPr>
        <w:spacing w:after="0" w:line="276" w:lineRule="auto"/>
        <w:jc w:val="both"/>
      </w:pPr>
      <w:r>
        <w:t>Revisar y rediseñar la MIR.</w:t>
      </w:r>
    </w:p>
    <w:p w14:paraId="47311D44" w14:textId="06EAB2C9" w:rsidR="00024592" w:rsidRDefault="00024592" w:rsidP="00024592">
      <w:pPr>
        <w:pStyle w:val="Prrafodelista"/>
        <w:numPr>
          <w:ilvl w:val="0"/>
          <w:numId w:val="2"/>
        </w:numPr>
        <w:spacing w:after="0" w:line="276" w:lineRule="auto"/>
        <w:jc w:val="both"/>
      </w:pPr>
      <w:r>
        <w:t>Elaborar las fichas técnicas de los indicadores.</w:t>
      </w:r>
    </w:p>
    <w:p w14:paraId="423C9027" w14:textId="7A86229C" w:rsidR="00024592" w:rsidRDefault="00024592" w:rsidP="00024592">
      <w:pPr>
        <w:pStyle w:val="Prrafodelista"/>
        <w:numPr>
          <w:ilvl w:val="0"/>
          <w:numId w:val="2"/>
        </w:numPr>
        <w:spacing w:after="0" w:line="276" w:lineRule="auto"/>
        <w:jc w:val="both"/>
      </w:pPr>
      <w:r>
        <w:t>Realizar las modificaciones necesarias para que los indicadores contengan la información con los criterios requeridos.</w:t>
      </w:r>
    </w:p>
    <w:p w14:paraId="3AB0DE1F" w14:textId="5E15846D" w:rsidR="00024592" w:rsidRPr="006E67EA" w:rsidRDefault="00024592" w:rsidP="00024592">
      <w:pPr>
        <w:pStyle w:val="Prrafodelista"/>
        <w:numPr>
          <w:ilvl w:val="0"/>
          <w:numId w:val="2"/>
        </w:numPr>
        <w:spacing w:after="0" w:line="276" w:lineRule="auto"/>
        <w:jc w:val="both"/>
      </w:pPr>
      <w:r>
        <w:t>Revisar y ajustar las metas de los indicadores de la MIR.</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02D22415" w:rsidR="00C54B67" w:rsidRDefault="00C54B67" w:rsidP="00F638EF">
      <w:pPr>
        <w:spacing w:after="0"/>
        <w:rPr>
          <w:lang w:val="es-ES"/>
        </w:rPr>
      </w:pPr>
    </w:p>
    <w:p w14:paraId="52BEE95B" w14:textId="77777777" w:rsidR="00C54B67" w:rsidRDefault="00C54B67">
      <w:pPr>
        <w:spacing w:after="0" w:line="240" w:lineRule="auto"/>
        <w:rPr>
          <w:lang w:val="es-ES"/>
        </w:rPr>
      </w:pPr>
      <w:r>
        <w:rPr>
          <w:lang w:val="es-ES"/>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lastRenderedPageBreak/>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137ADD17" w:rsidR="007C4CD6" w:rsidRPr="00521401" w:rsidRDefault="00024592" w:rsidP="00521401">
            <w:pPr>
              <w:spacing w:after="0" w:line="276" w:lineRule="auto"/>
              <w:ind w:left="179"/>
            </w:pPr>
            <w:r>
              <w:t>Seguridad Vial en Salud</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59B63E52" w:rsidR="007C4CD6" w:rsidRPr="007C4CD6" w:rsidRDefault="00024592" w:rsidP="00521401">
            <w:pPr>
              <w:spacing w:after="0" w:line="276" w:lineRule="auto"/>
              <w:ind w:left="179"/>
            </w:pPr>
            <w:r>
              <w:t>SVS</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7A92F50B" w:rsidR="007C4CD6" w:rsidRPr="007C4CD6" w:rsidRDefault="00024592" w:rsidP="00521401">
            <w:pPr>
              <w:spacing w:after="0" w:line="276" w:lineRule="auto"/>
              <w:ind w:left="179"/>
            </w:pPr>
            <w:r>
              <w:t>Servicios de Salud de Sinaloa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72CFA134" w:rsidR="005A28B9" w:rsidRPr="00A16BE7" w:rsidRDefault="00024592"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C54B67">
        <w:trPr>
          <w:trHeight w:val="340"/>
        </w:trPr>
        <w:tc>
          <w:tcPr>
            <w:tcW w:w="3256" w:type="dxa"/>
            <w:vAlign w:val="center"/>
          </w:tcPr>
          <w:p w14:paraId="06EEC80E" w14:textId="0EE0BF25" w:rsidR="00090637" w:rsidRPr="00D913D9" w:rsidRDefault="00090637" w:rsidP="00287214">
            <w:pPr>
              <w:spacing w:after="0" w:line="276" w:lineRule="auto"/>
              <w:jc w:val="center"/>
              <w:rPr>
                <w:bCs/>
              </w:rPr>
            </w:pPr>
          </w:p>
        </w:tc>
        <w:tc>
          <w:tcPr>
            <w:tcW w:w="3402" w:type="dxa"/>
            <w:vAlign w:val="center"/>
          </w:tcPr>
          <w:p w14:paraId="117D875F" w14:textId="58E5BD21" w:rsidR="00090637" w:rsidRPr="00090637" w:rsidRDefault="00C54B67"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C54B67">
        <w:trPr>
          <w:trHeight w:val="340"/>
        </w:trPr>
        <w:tc>
          <w:tcPr>
            <w:tcW w:w="9910" w:type="dxa"/>
            <w:gridSpan w:val="3"/>
          </w:tcPr>
          <w:p w14:paraId="7091B8EA" w14:textId="42DBDE97" w:rsidR="005065B9" w:rsidRPr="00521401" w:rsidRDefault="00941BFC" w:rsidP="005065B9">
            <w:pPr>
              <w:spacing w:after="0" w:line="276" w:lineRule="auto"/>
              <w:ind w:left="179"/>
            </w:pPr>
            <w:r>
              <w:t>Dr. Gerardo Kenny Inzunza Leyva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C54B67">
        <w:trPr>
          <w:trHeight w:val="340"/>
        </w:trPr>
        <w:tc>
          <w:tcPr>
            <w:tcW w:w="9910" w:type="dxa"/>
            <w:gridSpan w:val="3"/>
          </w:tcPr>
          <w:p w14:paraId="54E4AA94" w14:textId="1E105802" w:rsidR="00A4624B" w:rsidRPr="007301C5" w:rsidRDefault="00C54B67" w:rsidP="00A4624B">
            <w:pPr>
              <w:spacing w:after="0" w:line="276" w:lineRule="auto"/>
              <w:ind w:left="179"/>
            </w:pPr>
            <w:hyperlink r:id="rId10" w:history="1">
              <w:r w:rsidRPr="00AB228B">
                <w:rPr>
                  <w:rStyle w:val="Hipervnculo"/>
                </w:rPr>
                <w:t>seguridad.vial@saludsinaloa.gob.mx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C54B67">
        <w:trPr>
          <w:trHeight w:val="340"/>
        </w:trPr>
        <w:tc>
          <w:tcPr>
            <w:tcW w:w="9910" w:type="dxa"/>
            <w:gridSpan w:val="3"/>
            <w:vAlign w:val="center"/>
          </w:tcPr>
          <w:p w14:paraId="138DA773" w14:textId="7E210CB6" w:rsidR="004E1FF7" w:rsidRPr="007301C5" w:rsidRDefault="00035B7E" w:rsidP="004E1FF7">
            <w:pPr>
              <w:spacing w:after="0" w:line="276" w:lineRule="auto"/>
              <w:ind w:left="179"/>
            </w:pPr>
            <w:r>
              <w:t>Dirección</w:t>
            </w:r>
            <w:r w:rsidR="00C54B67">
              <w:t xml:space="preserve"> </w:t>
            </w:r>
            <w:r>
              <w:t>de Prevención y Promoción de la Salud</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C54B67">
        <w:trPr>
          <w:trHeight w:val="340"/>
        </w:trPr>
        <w:tc>
          <w:tcPr>
            <w:tcW w:w="9910" w:type="dxa"/>
            <w:gridSpan w:val="3"/>
          </w:tcPr>
          <w:p w14:paraId="6F19C066" w14:textId="43634BBD" w:rsidR="004E1FF7" w:rsidRPr="007301C5" w:rsidRDefault="00C54B67" w:rsidP="004E1FF7">
            <w:pPr>
              <w:spacing w:after="0" w:line="276" w:lineRule="auto"/>
              <w:ind w:left="179"/>
            </w:pPr>
            <w:r>
              <w:t>(</w:t>
            </w:r>
            <w:r w:rsidR="00035B7E">
              <w:t>667</w:t>
            </w:r>
            <w:r>
              <w:t>)</w:t>
            </w:r>
            <w:r w:rsidR="00035B7E">
              <w:t xml:space="preserve"> 758</w:t>
            </w:r>
            <w:r>
              <w:t xml:space="preserve"> </w:t>
            </w:r>
            <w:r w:rsidR="00035B7E">
              <w:t>73</w:t>
            </w:r>
            <w:r>
              <w:t xml:space="preserve"> </w:t>
            </w:r>
            <w:r w:rsidR="00035B7E">
              <w:t>26</w:t>
            </w:r>
          </w:p>
        </w:tc>
      </w:tr>
    </w:tbl>
    <w:p w14:paraId="618D093C" w14:textId="77777777" w:rsidR="006F5149" w:rsidRPr="00C54B67" w:rsidRDefault="006F5149" w:rsidP="00090637">
      <w:pPr>
        <w:spacing w:after="0" w:line="276" w:lineRule="auto"/>
        <w:jc w:val="both"/>
        <w:rPr>
          <w:sz w:val="14"/>
          <w:szCs w:val="1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3F0AF575" w:rsidR="00A06CEF" w:rsidRPr="00866990" w:rsidRDefault="00024592" w:rsidP="00A06CEF">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vAlign w:val="center"/>
          </w:tcPr>
          <w:p w14:paraId="334040E1" w14:textId="43E05E2D" w:rsidR="00090637" w:rsidRPr="00866990" w:rsidRDefault="00A024C1" w:rsidP="00A024C1">
            <w:pPr>
              <w:spacing w:after="0" w:line="240" w:lineRule="auto"/>
              <w:ind w:left="179"/>
              <w:jc w:val="both"/>
            </w:pPr>
            <w:r w:rsidRPr="00A024C1">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vAlign w:val="center"/>
          </w:tcPr>
          <w:p w14:paraId="2A2EB40C" w14:textId="402936E1" w:rsidR="00090637" w:rsidRPr="00866990" w:rsidRDefault="00A024C1" w:rsidP="00A024C1">
            <w:pPr>
              <w:spacing w:after="0" w:line="240" w:lineRule="auto"/>
              <w:ind w:left="179"/>
              <w:jc w:val="both"/>
            </w:pPr>
            <w:r w:rsidRPr="00A024C1">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vAlign w:val="center"/>
          </w:tcPr>
          <w:p w14:paraId="7D64613A" w14:textId="5F2D1369" w:rsidR="004C435E" w:rsidRPr="00866990" w:rsidRDefault="00A024C1" w:rsidP="00C54B67">
            <w:pPr>
              <w:spacing w:after="0" w:line="240" w:lineRule="auto"/>
              <w:ind w:left="179"/>
            </w:pPr>
            <w:r w:rsidRPr="00A024C1">
              <w:t>Recurso estatal</w:t>
            </w:r>
          </w:p>
        </w:tc>
      </w:tr>
      <w:tr w:rsidR="002C2D3A" w:rsidRPr="002C2D3A" w14:paraId="48B7EE05" w14:textId="77777777" w:rsidTr="002C2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w:t>
            </w:r>
            <w:r w:rsidR="007D00B1" w:rsidRPr="002C2D3A">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8EA2" w14:textId="77777777" w:rsidR="00EA4ADB" w:rsidRDefault="00EA4ADB" w:rsidP="008E5209">
      <w:pPr>
        <w:spacing w:after="0" w:line="240" w:lineRule="auto"/>
      </w:pPr>
      <w:r>
        <w:separator/>
      </w:r>
    </w:p>
  </w:endnote>
  <w:endnote w:type="continuationSeparator" w:id="0">
    <w:p w14:paraId="0D324FA4" w14:textId="77777777" w:rsidR="00EA4ADB" w:rsidRDefault="00EA4AD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Content>
      <w:p w14:paraId="2AEE73D2" w14:textId="20FBAC0C"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41BFC">
          <w:rPr>
            <w:b/>
            <w:bCs/>
            <w:noProof/>
            <w:sz w:val="18"/>
            <w:szCs w:val="18"/>
          </w:rPr>
          <w:t>7</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Content>
      <w:p w14:paraId="0E690CD3" w14:textId="5644E08E"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41BFC" w:rsidRPr="00941BFC">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472E" w14:textId="77777777" w:rsidR="00EA4ADB" w:rsidRDefault="00EA4ADB" w:rsidP="008E5209">
      <w:pPr>
        <w:spacing w:after="0" w:line="240" w:lineRule="auto"/>
      </w:pPr>
      <w:r>
        <w:separator/>
      </w:r>
    </w:p>
  </w:footnote>
  <w:footnote w:type="continuationSeparator" w:id="0">
    <w:p w14:paraId="2DB066EA" w14:textId="77777777" w:rsidR="00EA4ADB" w:rsidRDefault="00EA4ADB"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66.8pt;height:595.25pt" o:bullet="t">
        <v:imagedata r:id="rId1" o:title="03"/>
      </v:shape>
    </w:pict>
  </w:numPicBullet>
  <w:numPicBullet w:numPicBulletId="1">
    <w:pict>
      <v:shape id="_x0000_i1041" type="#_x0000_t75" style="width:282.15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754275524">
    <w:abstractNumId w:val="23"/>
  </w:num>
  <w:num w:numId="2" w16cid:durableId="1319114211">
    <w:abstractNumId w:val="21"/>
  </w:num>
  <w:num w:numId="3" w16cid:durableId="414861848">
    <w:abstractNumId w:val="7"/>
  </w:num>
  <w:num w:numId="4" w16cid:durableId="537089377">
    <w:abstractNumId w:val="19"/>
  </w:num>
  <w:num w:numId="5" w16cid:durableId="1168253410">
    <w:abstractNumId w:val="2"/>
    <w:lvlOverride w:ilvl="1">
      <w:lvl w:ilvl="1">
        <w:start w:val="1"/>
        <w:numFmt w:val="decimal"/>
        <w:lvlText w:val="%1.%2."/>
        <w:lvlJc w:val="left"/>
        <w:pPr>
          <w:ind w:left="792" w:hanging="432"/>
        </w:pPr>
        <w:rPr>
          <w:b/>
        </w:rPr>
      </w:lvl>
    </w:lvlOverride>
  </w:num>
  <w:num w:numId="6" w16cid:durableId="1413815824">
    <w:abstractNumId w:val="27"/>
  </w:num>
  <w:num w:numId="7" w16cid:durableId="989095485">
    <w:abstractNumId w:val="28"/>
  </w:num>
  <w:num w:numId="8" w16cid:durableId="866337107">
    <w:abstractNumId w:val="29"/>
  </w:num>
  <w:num w:numId="9" w16cid:durableId="674890103">
    <w:abstractNumId w:val="20"/>
  </w:num>
  <w:num w:numId="10" w16cid:durableId="1023819686">
    <w:abstractNumId w:val="12"/>
  </w:num>
  <w:num w:numId="11" w16cid:durableId="2069985979">
    <w:abstractNumId w:val="14"/>
  </w:num>
  <w:num w:numId="12" w16cid:durableId="309676653">
    <w:abstractNumId w:val="26"/>
  </w:num>
  <w:num w:numId="13" w16cid:durableId="566261689">
    <w:abstractNumId w:val="25"/>
  </w:num>
  <w:num w:numId="14" w16cid:durableId="1841853060">
    <w:abstractNumId w:val="22"/>
  </w:num>
  <w:num w:numId="15" w16cid:durableId="1472282234">
    <w:abstractNumId w:val="16"/>
  </w:num>
  <w:num w:numId="16" w16cid:durableId="670915397">
    <w:abstractNumId w:val="4"/>
  </w:num>
  <w:num w:numId="17" w16cid:durableId="191191334">
    <w:abstractNumId w:val="6"/>
  </w:num>
  <w:num w:numId="18" w16cid:durableId="1789157218">
    <w:abstractNumId w:val="17"/>
  </w:num>
  <w:num w:numId="19" w16cid:durableId="2037734507">
    <w:abstractNumId w:val="15"/>
  </w:num>
  <w:num w:numId="20" w16cid:durableId="67776112">
    <w:abstractNumId w:val="5"/>
  </w:num>
  <w:num w:numId="21" w16cid:durableId="480511226">
    <w:abstractNumId w:val="3"/>
  </w:num>
  <w:num w:numId="22" w16cid:durableId="1529292883">
    <w:abstractNumId w:val="13"/>
  </w:num>
  <w:num w:numId="23" w16cid:durableId="1209145573">
    <w:abstractNumId w:val="24"/>
  </w:num>
  <w:num w:numId="24" w16cid:durableId="1751003924">
    <w:abstractNumId w:val="11"/>
  </w:num>
  <w:num w:numId="25" w16cid:durableId="1036853814">
    <w:abstractNumId w:val="18"/>
  </w:num>
  <w:num w:numId="26" w16cid:durableId="1952007106">
    <w:abstractNumId w:val="8"/>
  </w:num>
  <w:num w:numId="27" w16cid:durableId="679509906">
    <w:abstractNumId w:val="10"/>
  </w:num>
  <w:num w:numId="28" w16cid:durableId="233855230">
    <w:abstractNumId w:val="0"/>
  </w:num>
  <w:num w:numId="29" w16cid:durableId="1500274507">
    <w:abstractNumId w:val="9"/>
  </w:num>
  <w:num w:numId="30" w16cid:durableId="10845731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592"/>
    <w:rsid w:val="00024AE9"/>
    <w:rsid w:val="0003464C"/>
    <w:rsid w:val="00035B7E"/>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2310"/>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D43E2"/>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35439"/>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C4DCC"/>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17B0"/>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1BFC"/>
    <w:rsid w:val="0094482C"/>
    <w:rsid w:val="00950021"/>
    <w:rsid w:val="00953824"/>
    <w:rsid w:val="0096110F"/>
    <w:rsid w:val="00966516"/>
    <w:rsid w:val="00975299"/>
    <w:rsid w:val="009768FB"/>
    <w:rsid w:val="0098143F"/>
    <w:rsid w:val="00983315"/>
    <w:rsid w:val="00987BBD"/>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24C1"/>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5776"/>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54B6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A4ADB"/>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C6DEB"/>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C54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guridad.vial@salud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39C0D-785E-42A4-81FC-24539402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112</TotalTime>
  <Pages>7</Pages>
  <Words>2133</Words>
  <Characters>11733</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15</cp:revision>
  <cp:lastPrinted>2022-06-17T19:35:00Z</cp:lastPrinted>
  <dcterms:created xsi:type="dcterms:W3CDTF">2022-12-06T19:20:00Z</dcterms:created>
  <dcterms:modified xsi:type="dcterms:W3CDTF">2025-12-01T19:03:00Z</dcterms:modified>
</cp:coreProperties>
</file>